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1E" w:rsidRPr="00313E71" w:rsidRDefault="00AE451E" w:rsidP="00313E71">
      <w:pPr>
        <w:spacing w:after="0" w:line="32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yếu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tố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ảnh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hưởng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thống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phối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phóng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kéo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dài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đường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uống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3E71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="00313E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3E71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="00313E71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313E71">
        <w:rPr>
          <w:rFonts w:ascii="Times New Roman" w:hAnsi="Times New Roman" w:cs="Times New Roman"/>
          <w:b/>
          <w:sz w:val="26"/>
          <w:szCs w:val="26"/>
        </w:rPr>
        <w:t>)</w:t>
      </w:r>
    </w:p>
    <w:p w:rsidR="00665452" w:rsidRPr="00771222" w:rsidRDefault="00665452" w:rsidP="00771222">
      <w:pPr>
        <w:shd w:val="clear" w:color="auto" w:fill="F8F9FA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1.2.3) Viên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nén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hệ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cốt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 chất béo-sáp [12-13]</w:t>
      </w:r>
    </w:p>
    <w:p w:rsidR="00014FFC" w:rsidRPr="00771222" w:rsidRDefault="00313E71" w:rsidP="00771222">
      <w:pPr>
        <w:pStyle w:val="HTMLPreformatted"/>
        <w:shd w:val="clear" w:color="auto" w:fill="F8F9FA"/>
        <w:spacing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Dược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chất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có thể kết hợp với sáp béo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tạo hạt bằng cách phun đông tụ trong không khí,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trộn đông tụ trong môi trường nước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có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hoặc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không có sự hỗ trợ của chất hoạt động bề mặt và kỹ thuật sấy phun. Trong phương pháp đông tụ số lượng lớn,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hỗn dịch thuốc và sáp béo tan chảy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được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để đông đặc và sau đó được nghiền nhỏ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đối với dạng hạt giải phóng kéo dài. Các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hỗn hợp của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thành phần hoạt tính, vật liệu sáp và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chất độn cũng có thể được chuyển đổi thành hạt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bằng cách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cán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ép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bằng máy </w:t>
      </w:r>
      <w:proofErr w:type="spellStart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cán</w:t>
      </w:r>
      <w:proofErr w:type="spellEnd"/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,</w:t>
      </w:r>
      <w:r w:rsidR="0066545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đun nóng trong một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thiết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bị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thích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hợp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như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máy trộn tầng sôi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có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vỏ hơi nước hoặc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tạo hạt bằng dung dịch vật liệu sáp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hoặc các chất kết dính khác.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Dược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chất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được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phân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bố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vào chất béo và sáp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tan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chảy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được giải phóng bằng cách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rửa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trôi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và/hoặc thủy phân cũng như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sự hòa tan chất béo dưới tác dụng của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enzyme và sự thay đổi pH trong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đường tiêu hóa. Việc bổ sung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chất hoạt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động bề mặt trong công thức cũng có thể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ảnh hưởng đến tốc độ giải phóng dược chất và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ỷ lệ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trên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tổng số thuốc có thể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được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đưa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vào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một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hệ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cốt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.</w:t>
      </w:r>
    </w:p>
    <w:p w:rsidR="00473129" w:rsidRPr="00771222" w:rsidRDefault="00735BC8" w:rsidP="00771222">
      <w:pPr>
        <w:pStyle w:val="HTMLPreformatted"/>
        <w:shd w:val="clear" w:color="auto" w:fill="F8F9FA"/>
        <w:spacing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2) Hệ thống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kéo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dài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giải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phóng</w:t>
      </w:r>
      <w:proofErr w:type="spellEnd"/>
      <w:r w:rsidR="00473129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 [13-14]</w:t>
      </w:r>
    </w:p>
    <w:p w:rsidR="00473129" w:rsidRPr="00771222" w:rsidRDefault="00313E71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Thuốc có tốc độ hòa tan chậm là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vốn đã được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kéo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dài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và đối với những loại thuốc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có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độ hòa tan trong nước cao, người ta có thể giảm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hòa tan bằng muối thích hợp hoặc</w:t>
      </w:r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công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thức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phá</w:t>
      </w:r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</w:t>
      </w:r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sinh. Những hệ thống này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được sử dụng phổ biến nhất trong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sản xuất các dạng bào chế bao tan trong ruột.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Để bảo vệ dạ dày khỏi tác động của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các loại thuốc như Aspirin, một chất phủ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hòa tan trong </w:t>
      </w:r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môi trường tự nhiên hoặc kiềm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đã</w:t>
      </w:r>
      <w:proofErr w:type="spellEnd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735BC8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được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sử dụng. Điều này ngăn cản sự giải phóng thuốc từ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dạng bào chế cho đến khi đạt đến độ pH cao hơn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của ruột. Tro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ng hầu hết các trường hợp,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bao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tan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trong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ruột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dạng bào chế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không thực sự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kéo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dài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trong tự nhiên, 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nhưng phục vụ như là một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chức năng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hữu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ích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trong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việc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giải phóng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trực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tiếp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thuốc tới một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vị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trí</w:t>
      </w:r>
      <w:proofErr w:type="spellEnd"/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đặc biệt. Cách tiếp cận tương tự có thể được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được sử dụng cho các hợp chất bị phân hủy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7312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bởi những đi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ều kiện khắc nghiệt trong dạ dà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y.</w:t>
      </w:r>
    </w:p>
    <w:p w:rsidR="00EC21C7" w:rsidRPr="00771222" w:rsidRDefault="00EC21C7" w:rsidP="00771222">
      <w:pPr>
        <w:shd w:val="clear" w:color="auto" w:fill="F8F9FA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ind w:firstLine="1260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noProof/>
          <w:color w:val="202124"/>
          <w:sz w:val="26"/>
          <w:szCs w:val="26"/>
        </w:rPr>
        <w:drawing>
          <wp:inline distT="0" distB="0" distL="0" distR="0" wp14:anchorId="1AA3B550" wp14:editId="6854B4BC">
            <wp:extent cx="4639322" cy="1419423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C7" w:rsidRPr="00771222" w:rsidRDefault="00EC21C7" w:rsidP="00771222">
      <w:pPr>
        <w:pStyle w:val="HTMLPreformatted"/>
        <w:shd w:val="clear" w:color="auto" w:fill="F8F9FA"/>
        <w:spacing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lastRenderedPageBreak/>
        <w:t xml:space="preserve">Việc phân phối xung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quanh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có thể đạt được nếu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lớp ngoài đang n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hanh chóng giải phóng liều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của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viên</w:t>
      </w:r>
      <w:proofErr w:type="spellEnd"/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thuốc, nồng độ ban đầu của thuốc trong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cơ thể có thể được thiết lập nhanh chóng bằng xung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khoảng thời gian. Đây không phải là sự duy trì thực sự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hệ thống phát hành;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hiệu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quả</w:t>
      </w:r>
      <w:proofErr w:type="spellEnd"/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sinh học có thể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tương tự. Một phương pháp thay thế là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quản lý thuốc như nhóm hạt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có lớp phủ có độ dày khác nhau.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Vì các hạt có lớp phủ khác nhau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độ dày, sự g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iải phóng của chúng xảy ra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theo</w:t>
      </w:r>
      <w:proofErr w:type="spellEnd"/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một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cách tiến bộ. Những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hạt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có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lớp mỏng nhất sẽ cung cấp liều ban đầu.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Liều duy trì của thuốc có thể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đạt được bằng cách áp dụng lớp phủ dày hơn. Đây là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nguyên lý của viên nang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bao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Cellulose nitrat phthalate được tổng hợp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và được sử dụng làm chất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bao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tan </w:t>
      </w:r>
      <w:proofErr w:type="spellStart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trong</w:t>
      </w:r>
      <w:proofErr w:type="spellEnd"/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ruột cho</w:t>
      </w:r>
      <w:r w:rsidR="004975E6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viên axit acetyl salicylic.</w:t>
      </w:r>
    </w:p>
    <w:p w:rsidR="00EC21C7" w:rsidRPr="00771222" w:rsidRDefault="004975E6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2.2) Hệ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cốt</w:t>
      </w:r>
      <w:proofErr w:type="spellEnd"/>
      <w:r w:rsidR="00EC21C7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 hòa tan [14-15]</w:t>
      </w:r>
    </w:p>
    <w:p w:rsidR="008C440C" w:rsidRPr="00771222" w:rsidRDefault="00313E71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  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Nó có thể là một quả cầu tẩm thuốc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hoặc một viên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nén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tẩm thuốc, sẽ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bị xói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mòn chậm.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Sự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giải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kéo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dài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thông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thường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của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dạng bào chế được thể hiện</w:t>
      </w:r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rõ</w:t>
      </w:r>
      <w:proofErr w:type="spellEnd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195FDD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hơn</w:t>
      </w:r>
      <w:proofErr w:type="spellEnd"/>
      <w:r w:rsidR="00EC21C7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trong (Hình 7).</w:t>
      </w:r>
    </w:p>
    <w:p w:rsidR="008C440C" w:rsidRPr="00771222" w:rsidRDefault="00195FDD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ind w:firstLine="1530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noProof/>
          <w:color w:val="202124"/>
          <w:sz w:val="26"/>
          <w:szCs w:val="26"/>
        </w:rPr>
        <w:drawing>
          <wp:inline distT="0" distB="0" distL="0" distR="0" wp14:anchorId="01B036B7" wp14:editId="5A4119EE">
            <wp:extent cx="4525006" cy="193384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40C" w:rsidRPr="00771222" w:rsidRDefault="00287042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2.3)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Hệ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thống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phân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phối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thuốc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giải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phóng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kéo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dài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theo</w:t>
      </w:r>
      <w:proofErr w:type="spellEnd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nhịp</w:t>
      </w:r>
      <w:proofErr w:type="spellEnd"/>
      <w:r w:rsidR="008C440C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 [16-17]</w:t>
      </w:r>
    </w:p>
    <w:p w:rsidR="008C440C" w:rsidRPr="00771222" w:rsidRDefault="00313E71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Trong số 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các công thức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kéo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dài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công nghệ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hệ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cốt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ưa nước là tốt nhất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được sử dụng rộng rãi do những ưu điểm sau.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Cung cấp hồ sơ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mong muốn cho một phạm vi rộng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loại thuốc điều trị, thuốc và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độ hòa tan.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Sản xuất đơn giản và tiết kiệm chi phí.Sự chấp nhận của bệnh nhân.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Dễ dàng điều chế thuốc thông qua mức độ,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loại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polymer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và chức năng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lớp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màng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bao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Một viên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cốt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ưa nước bao gồm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: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Hỗn hợp thuốc, polyme và tá dược(chất độn/chất pha loãng cũng như các tá dược khác)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được điều chế bằng polyme ưa nước trong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hệ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cốt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 Người lập công thức thường chọn từ một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dãy polyme ưa nước đứng một mìnhhoặc kết hợp với các polyme khác nhau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để kiểm soát tốc độ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</w:t>
      </w:r>
    </w:p>
    <w:p w:rsidR="008C440C" w:rsidRPr="00771222" w:rsidRDefault="008C440C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3) Nhựa </w:t>
      </w:r>
      <w:r w:rsidR="00287042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 xml:space="preserve">trao đổi ion giải phóng </w:t>
      </w:r>
      <w:proofErr w:type="spellStart"/>
      <w:r w:rsidR="00287042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kéo</w:t>
      </w:r>
      <w:proofErr w:type="spellEnd"/>
      <w:r w:rsidR="00287042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proofErr w:type="spellStart"/>
      <w:r w:rsidR="00287042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dài</w:t>
      </w:r>
      <w:proofErr w:type="spellEnd"/>
      <w:r w:rsidR="00287042"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 xml:space="preserve"> </w:t>
      </w: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>[27]</w:t>
      </w:r>
    </w:p>
    <w:p w:rsidR="008C440C" w:rsidRPr="00771222" w:rsidRDefault="00014FFC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Nhựa trao đổi ion là các polyme không tan trong nước có liên kết ngang mang khả năng ion hóa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các nhóm chức năng. Các loại nhựa đã được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được sử dụng trong dược phẩm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lastRenderedPageBreak/>
        <w:t>khác nhau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ứng dụng, chủ yếu để che giấu mùi vị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và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kiểm soát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 Trong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công thức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viên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nén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, nhựa trao đổi ion đã được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được sử dụng làm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tá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dược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rã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, vì chúng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có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khả năng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trương</w:t>
      </w:r>
      <w:proofErr w:type="spellEnd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nở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. Nó hình </w:t>
      </w:r>
      <w:r w:rsidR="009D4CAF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thành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các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cấu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trúc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đảo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ngược</w:t>
      </w:r>
      <w:proofErr w:type="spellEnd"/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phức tạp với các thuốc có thể ion hóa được tiếp xúc kéo dài với nhựa.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Thuốc liên kết với nhựa sẽ bị loại bỏ khi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các ion thích hợp tiếp xúc với các nhóm trao đổi ion. Diện tích và chiều dài của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con đường khuếch tán và lượng polyme liên kết ngang trong phần nhựa chi phối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tốc độ giải phóng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thuốc. Sriwongjanya và cộng sự</w:t>
      </w:r>
      <w:r w:rsidR="00287042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đã tìm ra tác dụng của nhựa trao đổi ion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với thuốc chứa điện tích trái dấu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trong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hệ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cốt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 Sau cuộc điều tra này họ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kết luận rằng việc giải phóng thuốc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chứa điện tích trái dấu bị chậm lại bởi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bổ su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ng nhựa trao đổi ion vào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hệ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cốt</w:t>
      </w:r>
      <w:proofErr w:type="spellEnd"/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HPMC do hình thành phức chất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8C440C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giữa thuốc và nhựa.</w:t>
      </w:r>
    </w:p>
    <w:p w:rsidR="00313E71" w:rsidRPr="00771222" w:rsidRDefault="00313E71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vi-VN"/>
        </w:rPr>
        <w:t>4) Phương pháp sử dụng áp suất thẩm thấu [28-29]</w:t>
      </w:r>
    </w:p>
    <w:p w:rsidR="00313E71" w:rsidRPr="00771222" w:rsidRDefault="00014FFC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Trong phương pháp này, việc kiểm soát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này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yếu tố phải được tối ưu hóa là áp suất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thẩm thấu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gradient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giữa bên trong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ngăn và bên ngoài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môi trường.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Cách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đ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ơn giản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nhất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có thể dự đoán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để đạt được một hằng số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áp suất thẩm thấu là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duy trì trạng thái bão hòa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dung dịch chất thẩm thấu trong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ngăn. Công nghệ này cung cấp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giải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phóng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không thứ tự được sử dụng cho thuốc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ưa nước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. Thuốc có thể có hoạt tính thẩm thấu hoặc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kết hợp với muối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tạo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thẩm thấu, ví dụ.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NaCl. Áp suất thẩm thấu là thủy tĩnh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áp suất do dung dịch tạo ra trong không gian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được ngăn cách bởi màng bán thấm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do sự khác biệt về nồng độ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chất tan. Thẩm thấu là sự khuếch tán của chất lỏng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qua màng bán thấm từ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dung dịch có nồng độ chất tan thấp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sang dung dịch có 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nồng độ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chất tan cao hơn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cho đến khi có sự cân bằng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nồng độ chất lỏng ở cả hai phía của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màng. Màng bán thấm là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đặt xung quanh một viên thuốc, hạt hoặc thuốc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hòa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tan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cho phép vận chuyển nước vào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viên thuốc cuối cùng sẽ được bơm thuốc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hòa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tan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ra khỏi máy tính bảng thông qua một 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lỗ</w:t>
      </w:r>
      <w:proofErr w:type="spellEnd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nhỏ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đ</w:t>
      </w:r>
      <w:proofErr w:type="spellStart"/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>ược</w:t>
      </w:r>
      <w:proofErr w:type="spellEnd"/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 xml:space="preserve"> phân phối trong lớp phủ máy tính bảng. Các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h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ệ thống thẩm thấu được phân thành hai loại chính, tức là loại A &amp; loại B.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Trong hệ thống loại A, lõi chứa cả hai,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thuốc và chất điện giải. Các chất điện giải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cung cấp áp suất thẩm thấu và duy trì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tốc độ giải phóng dược chất.</w:t>
      </w:r>
    </w:p>
    <w:p w:rsidR="00C96879" w:rsidRPr="00771222" w:rsidRDefault="00014FFC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      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Trong hệ thống loại B, dung dịch thuốc là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có trong màng bán thấm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được bao quanh bởi chất điện phân. Cả hai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hệ thống được thể hiện trong (Hình 8 &amp; 9)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  <w:r w:rsidR="00313E71" w:rsidRPr="00771222"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  <w:t>tương ứng.</w:t>
      </w:r>
      <w:r w:rsidR="00C96879" w:rsidRPr="00771222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</w:t>
      </w:r>
    </w:p>
    <w:p w:rsidR="00313E71" w:rsidRPr="00771222" w:rsidRDefault="00C96879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</w:pPr>
      <w:bookmarkStart w:id="0" w:name="_GoBack"/>
      <w:r w:rsidRPr="00771222">
        <w:rPr>
          <w:rFonts w:ascii="Times New Roman" w:eastAsia="Times New Roman" w:hAnsi="Times New Roman" w:cs="Times New Roman"/>
          <w:noProof/>
          <w:color w:val="202124"/>
          <w:sz w:val="26"/>
          <w:szCs w:val="26"/>
        </w:rPr>
        <w:lastRenderedPageBreak/>
        <w:drawing>
          <wp:inline distT="0" distB="0" distL="0" distR="0" wp14:anchorId="31788E16" wp14:editId="43C10714">
            <wp:extent cx="5943600" cy="1773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6879" w:rsidRPr="00771222" w:rsidRDefault="00C96879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val="vi-VN"/>
        </w:rPr>
      </w:pPr>
    </w:p>
    <w:p w:rsidR="00AE451E" w:rsidRPr="00771222" w:rsidRDefault="00AE451E" w:rsidP="00771222">
      <w:pPr>
        <w:spacing w:after="0" w:line="324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viết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bài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Ths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Trịnh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Loan</w:t>
      </w:r>
    </w:p>
    <w:p w:rsidR="00AE451E" w:rsidRPr="00771222" w:rsidRDefault="00AE451E" w:rsidP="00771222">
      <w:pPr>
        <w:spacing w:after="0" w:line="324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duyệt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bài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Ths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Nguyễn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Thùy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Trang</w:t>
      </w:r>
      <w:proofErr w:type="spellEnd"/>
    </w:p>
    <w:p w:rsidR="00AE451E" w:rsidRPr="00771222" w:rsidRDefault="00AE451E" w:rsidP="00771222">
      <w:pPr>
        <w:spacing w:after="0" w:line="324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Nguồn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771222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AE451E" w:rsidRPr="00771222" w:rsidRDefault="00771222" w:rsidP="00771222">
      <w:pPr>
        <w:spacing w:after="0" w:line="324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hyperlink r:id="rId7" w:history="1">
        <w:r w:rsidR="00AE451E" w:rsidRPr="00771222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val="vi-VN"/>
          </w:rPr>
          <w:t>https://www.rroij.com/open-access/sustained-release-oral-drug-delivery-system--an-overview.pdf</w:t>
        </w:r>
      </w:hyperlink>
    </w:p>
    <w:p w:rsidR="00215DDD" w:rsidRPr="00771222" w:rsidRDefault="00215DDD" w:rsidP="00771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</w:rPr>
      </w:pPr>
    </w:p>
    <w:sectPr w:rsidR="00215DDD" w:rsidRPr="0077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51"/>
    <w:rsid w:val="00014FFC"/>
    <w:rsid w:val="000666C5"/>
    <w:rsid w:val="000F2759"/>
    <w:rsid w:val="00136A12"/>
    <w:rsid w:val="00195FDD"/>
    <w:rsid w:val="001B5FF9"/>
    <w:rsid w:val="00215DDD"/>
    <w:rsid w:val="00226251"/>
    <w:rsid w:val="00287042"/>
    <w:rsid w:val="002A1CBE"/>
    <w:rsid w:val="003100E1"/>
    <w:rsid w:val="00313E71"/>
    <w:rsid w:val="003645E0"/>
    <w:rsid w:val="00473129"/>
    <w:rsid w:val="00495B08"/>
    <w:rsid w:val="004975E6"/>
    <w:rsid w:val="00617989"/>
    <w:rsid w:val="00665452"/>
    <w:rsid w:val="006F199C"/>
    <w:rsid w:val="00712385"/>
    <w:rsid w:val="00735BC8"/>
    <w:rsid w:val="00771222"/>
    <w:rsid w:val="00827DD7"/>
    <w:rsid w:val="008C440C"/>
    <w:rsid w:val="008E22D6"/>
    <w:rsid w:val="009D4CAF"/>
    <w:rsid w:val="00AB5774"/>
    <w:rsid w:val="00AE451E"/>
    <w:rsid w:val="00AE66EA"/>
    <w:rsid w:val="00B216A7"/>
    <w:rsid w:val="00C96879"/>
    <w:rsid w:val="00CA25F9"/>
    <w:rsid w:val="00EC21C7"/>
    <w:rsid w:val="00F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0B26-1635-4CDC-96EB-115E9FD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36A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A1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roij.com/open-access/sustained-release-oral-drug-delivery-system--an-overvie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2024-01-17T15:21:00Z</dcterms:created>
  <dcterms:modified xsi:type="dcterms:W3CDTF">2024-03-17T13:34:00Z</dcterms:modified>
</cp:coreProperties>
</file>