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82" w:rsidRPr="00D67B95" w:rsidRDefault="00DC5C82" w:rsidP="00DC5C82">
      <w:pPr>
        <w:autoSpaceDE w:val="0"/>
        <w:autoSpaceDN w:val="0"/>
        <w:adjustRightInd w:val="0"/>
        <w:spacing w:before="100" w:beforeAutospacing="1" w:after="100" w:afterAutospacing="1" w:line="276" w:lineRule="auto"/>
        <w:ind w:left="-630" w:right="-806"/>
        <w:jc w:val="center"/>
        <w:rPr>
          <w:rFonts w:ascii="Times New Roman" w:hAnsi="Times New Roman" w:cs="Times New Roman"/>
          <w:b/>
          <w:bCs/>
          <w:color w:val="000000"/>
          <w:sz w:val="36"/>
          <w:szCs w:val="28"/>
        </w:rPr>
      </w:pPr>
      <w:r w:rsidRPr="00D67B95">
        <w:rPr>
          <w:rFonts w:ascii="Times New Roman" w:hAnsi="Times New Roman" w:cs="Times New Roman"/>
          <w:b/>
          <w:bCs/>
          <w:color w:val="000000"/>
          <w:sz w:val="36"/>
          <w:szCs w:val="28"/>
        </w:rPr>
        <w:t>THU</w:t>
      </w:r>
      <w:r w:rsidRPr="00D67B95">
        <w:rPr>
          <w:rFonts w:ascii="Times New Roman" w:hAnsi="Times New Roman" w:cs="Times New Roman"/>
          <w:b/>
          <w:color w:val="000000"/>
          <w:sz w:val="36"/>
          <w:szCs w:val="28"/>
        </w:rPr>
        <w:t>Ố</w:t>
      </w:r>
      <w:r w:rsidRPr="00D67B95">
        <w:rPr>
          <w:rFonts w:ascii="Times New Roman" w:hAnsi="Times New Roman" w:cs="Times New Roman"/>
          <w:b/>
          <w:bCs/>
          <w:color w:val="000000"/>
          <w:sz w:val="36"/>
          <w:szCs w:val="28"/>
        </w:rPr>
        <w:t xml:space="preserve">C </w:t>
      </w:r>
      <w:r w:rsidRPr="00D67B95">
        <w:rPr>
          <w:rFonts w:ascii="Times New Roman" w:hAnsi="Times New Roman" w:cs="Times New Roman"/>
          <w:b/>
          <w:color w:val="000000"/>
          <w:sz w:val="36"/>
          <w:szCs w:val="28"/>
        </w:rPr>
        <w:t>ĐẶ</w:t>
      </w:r>
      <w:r w:rsidRPr="00D67B95">
        <w:rPr>
          <w:rFonts w:ascii="Times New Roman" w:hAnsi="Times New Roman" w:cs="Times New Roman"/>
          <w:b/>
          <w:bCs/>
          <w:color w:val="000000"/>
          <w:sz w:val="36"/>
          <w:szCs w:val="28"/>
        </w:rPr>
        <w:t>T (SUPPOSITORIA)</w:t>
      </w:r>
      <w:r>
        <w:rPr>
          <w:rFonts w:ascii="Times New Roman" w:hAnsi="Times New Roman" w:cs="Times New Roman"/>
          <w:b/>
          <w:bCs/>
          <w:color w:val="000000"/>
          <w:sz w:val="36"/>
          <w:szCs w:val="28"/>
        </w:rPr>
        <w:t xml:space="preserve"> – phầ</w:t>
      </w:r>
      <w:r>
        <w:rPr>
          <w:rFonts w:ascii="Times New Roman" w:hAnsi="Times New Roman" w:cs="Times New Roman"/>
          <w:b/>
          <w:bCs/>
          <w:color w:val="000000"/>
          <w:sz w:val="36"/>
          <w:szCs w:val="28"/>
        </w:rPr>
        <w:t>n 2</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eastAsia="MS Mincho" w:hAnsi="Times New Roman" w:cs="Times New Roman"/>
          <w:color w:val="000000"/>
          <w:sz w:val="28"/>
          <w:szCs w:val="28"/>
        </w:rPr>
      </w:pPr>
      <w:r w:rsidRPr="00DC5C82">
        <w:rPr>
          <w:rFonts w:ascii="Times New Roman" w:hAnsi="Times New Roman" w:cs="Times New Roman"/>
          <w:b/>
          <w:bCs/>
          <w:color w:val="000000"/>
          <w:sz w:val="28"/>
          <w:szCs w:val="28"/>
        </w:rPr>
        <w:t xml:space="preserve">21. </w:t>
      </w:r>
      <w:r w:rsidRPr="00DC5C82">
        <w:rPr>
          <w:rFonts w:ascii="Times New Roman" w:hAnsi="Times New Roman" w:cs="Times New Roman"/>
          <w:color w:val="000000"/>
          <w:sz w:val="28"/>
          <w:szCs w:val="28"/>
        </w:rPr>
        <w:t>Witespol là một loại tá dược tổng hợp.</w:t>
      </w:r>
      <w:r w:rsidRPr="00DC5C82">
        <w:rPr>
          <w:rFonts w:ascii="MS Mincho" w:eastAsia="MS Mincho" w:hAnsi="MS Mincho" w:cs="MS Mincho" w:hint="eastAsia"/>
          <w:color w:val="000000"/>
          <w:sz w:val="28"/>
          <w:szCs w:val="28"/>
        </w:rPr>
        <w:t>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22. </w:t>
      </w:r>
      <w:r w:rsidRPr="00DC5C82">
        <w:rPr>
          <w:rFonts w:ascii="Times New Roman" w:hAnsi="Times New Roman" w:cs="Times New Roman"/>
          <w:color w:val="000000"/>
          <w:sz w:val="28"/>
          <w:szCs w:val="28"/>
        </w:rPr>
        <w:t xml:space="preserve">Một số dược chất chịu được tác </w:t>
      </w:r>
      <w:bookmarkStart w:id="0" w:name="_GoBack"/>
      <w:bookmarkEnd w:id="0"/>
      <w:r w:rsidRPr="00DC5C82">
        <w:rPr>
          <w:rFonts w:ascii="Times New Roman" w:hAnsi="Times New Roman" w:cs="Times New Roman"/>
          <w:color w:val="000000"/>
          <w:sz w:val="28"/>
          <w:szCs w:val="28"/>
        </w:rPr>
        <w:t xml:space="preserve">dụng của môi trường acid, kiềm và men tiêu hoá người ta không chế dưới dạng thuốc đặt.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23. </w:t>
      </w:r>
      <w:r w:rsidRPr="00DC5C82">
        <w:rPr>
          <w:rFonts w:ascii="Times New Roman" w:hAnsi="Times New Roman" w:cs="Times New Roman"/>
          <w:color w:val="000000"/>
          <w:sz w:val="28"/>
          <w:szCs w:val="28"/>
        </w:rPr>
        <w:t xml:space="preserve">Thuốc đặt là dạng bào chế hợp lý cho các dược chất có mùi vị khó chịu và kích ứng.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24. </w:t>
      </w:r>
      <w:r w:rsidRPr="00DC5C82">
        <w:rPr>
          <w:rFonts w:ascii="Times New Roman" w:hAnsi="Times New Roman" w:cs="Times New Roman"/>
          <w:color w:val="000000"/>
          <w:sz w:val="28"/>
          <w:szCs w:val="28"/>
        </w:rPr>
        <w:t xml:space="preserve">Trong các công thức tá dược của thuốc đặt thường phối hợp với lanolin, cholesterol, sáp ong chủ yếu nhằm làm tăng độ cứng.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25. </w:t>
      </w:r>
      <w:r w:rsidRPr="00DC5C82">
        <w:rPr>
          <w:rFonts w:ascii="Times New Roman" w:hAnsi="Times New Roman" w:cs="Times New Roman"/>
          <w:color w:val="000000"/>
          <w:sz w:val="28"/>
          <w:szCs w:val="28"/>
        </w:rPr>
        <w:t>Tá dược glycero - gelatin chỉ thích hợp dùng điều chế thuốc đặt âm đạo.</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26. </w:t>
      </w:r>
      <w:r w:rsidRPr="00DC5C82">
        <w:rPr>
          <w:rFonts w:ascii="Times New Roman" w:hAnsi="Times New Roman" w:cs="Times New Roman"/>
          <w:color w:val="000000"/>
          <w:sz w:val="28"/>
          <w:szCs w:val="28"/>
        </w:rPr>
        <w:t>Tá dược glycerid bán tổng hợp nên làm lạnh đột ngột và kéo dài thời gian sau khi đổ khuôn để dược chất giữ được trạng thái phân tán đồng đều.</w:t>
      </w:r>
      <w:r w:rsidRPr="00DC5C82">
        <w:rPr>
          <w:rFonts w:ascii="MS Mincho" w:eastAsia="MS Mincho" w:hAnsi="MS Mincho" w:cs="MS Mincho" w:hint="eastAsia"/>
          <w:color w:val="000000"/>
          <w:sz w:val="28"/>
          <w:szCs w:val="28"/>
        </w:rPr>
        <w:t>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27. </w:t>
      </w:r>
      <w:r w:rsidRPr="00DC5C82">
        <w:rPr>
          <w:rFonts w:ascii="Times New Roman" w:hAnsi="Times New Roman" w:cs="Times New Roman"/>
          <w:color w:val="000000"/>
          <w:sz w:val="28"/>
          <w:szCs w:val="28"/>
        </w:rPr>
        <w:t>Khi độ tan của dược chất trong tá dược béo thấp, độ tan trong tá dược thân nước cao thì chọn tá dược thân nước, dược chất sẽ phóng thích nhanh.</w:t>
      </w:r>
      <w:r w:rsidRPr="00DC5C82">
        <w:rPr>
          <w:rFonts w:ascii="MS Mincho" w:eastAsia="MS Mincho" w:hAnsi="MS Mincho" w:cs="MS Mincho" w:hint="eastAsia"/>
          <w:color w:val="000000"/>
          <w:sz w:val="28"/>
          <w:szCs w:val="28"/>
        </w:rPr>
        <w:t>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28. </w:t>
      </w:r>
      <w:r w:rsidRPr="00DC5C82">
        <w:rPr>
          <w:rFonts w:ascii="Times New Roman" w:hAnsi="Times New Roman" w:cs="Times New Roman"/>
          <w:color w:val="000000"/>
          <w:sz w:val="28"/>
          <w:szCs w:val="28"/>
        </w:rPr>
        <w:t>Nếu độ tan của dược chất trong tá dược thân nước thấp, độ tan trong tá dược béo cao thì chọn tá dược thân nước sẽ có lợi cho sự phóng thích dược chất.</w:t>
      </w:r>
      <w:r w:rsidRPr="00DC5C82">
        <w:rPr>
          <w:rFonts w:ascii="MS Mincho" w:eastAsia="MS Mincho" w:hAnsi="MS Mincho" w:cs="MS Mincho" w:hint="eastAsia"/>
          <w:color w:val="000000"/>
          <w:sz w:val="28"/>
          <w:szCs w:val="28"/>
        </w:rPr>
        <w:t>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29. </w:t>
      </w:r>
      <w:r w:rsidRPr="00DC5C82">
        <w:rPr>
          <w:rFonts w:ascii="Times New Roman" w:hAnsi="Times New Roman" w:cs="Times New Roman"/>
          <w:color w:val="000000"/>
          <w:sz w:val="28"/>
          <w:szCs w:val="28"/>
        </w:rPr>
        <w:t>Các nguyên liệu chất dẻo thích hợp dùng làm đồ bao gói cho các thuốc đặt có tá dược là PEG.</w:t>
      </w:r>
      <w:r w:rsidRPr="00DC5C82">
        <w:rPr>
          <w:rFonts w:ascii="MS Mincho" w:eastAsia="MS Mincho" w:hAnsi="MS Mincho" w:cs="MS Mincho" w:hint="eastAsia"/>
          <w:color w:val="000000"/>
          <w:sz w:val="28"/>
          <w:szCs w:val="28"/>
        </w:rPr>
        <w:t>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30. </w:t>
      </w:r>
      <w:r w:rsidRPr="00DC5C82">
        <w:rPr>
          <w:rFonts w:ascii="Times New Roman" w:hAnsi="Times New Roman" w:cs="Times New Roman"/>
          <w:color w:val="000000"/>
          <w:sz w:val="28"/>
          <w:szCs w:val="28"/>
        </w:rPr>
        <w:t>Khi dùng thuốc đặt với tá dược PEG có thể bị phản ứng bởi thành trực tràng, khắc phục bằng cách nhúng viên thuốc vào nước trước khi đặt.</w:t>
      </w:r>
      <w:r w:rsidRPr="00DC5C82">
        <w:rPr>
          <w:rFonts w:ascii="MS Mincho" w:eastAsia="MS Mincho" w:hAnsi="MS Mincho" w:cs="MS Mincho" w:hint="eastAsia"/>
          <w:color w:val="000000"/>
          <w:sz w:val="28"/>
          <w:szCs w:val="28"/>
        </w:rPr>
        <w:t> </w:t>
      </w:r>
    </w:p>
    <w:p w:rsidR="00DC5C82"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lastRenderedPageBreak/>
        <w:t xml:space="preserve">31. </w:t>
      </w:r>
      <w:r w:rsidRPr="00DC5C82">
        <w:rPr>
          <w:rFonts w:ascii="Times New Roman" w:hAnsi="Times New Roman" w:cs="Times New Roman"/>
          <w:color w:val="000000"/>
          <w:sz w:val="28"/>
          <w:szCs w:val="28"/>
        </w:rPr>
        <w:t>PEG chứa một số tạp chất gây tương kỵ hoặc làm mất hoạt tính của một số dược chất như: penicilin, phenol, paraben...</w:t>
      </w:r>
      <w:r w:rsidRPr="00DC5C82">
        <w:rPr>
          <w:rFonts w:ascii="MS Mincho" w:eastAsia="MS Mincho" w:hAnsi="MS Mincho" w:cs="MS Mincho" w:hint="eastAsia"/>
          <w:color w:val="000000"/>
          <w:sz w:val="28"/>
          <w:szCs w:val="28"/>
        </w:rPr>
        <w:t> </w:t>
      </w:r>
    </w:p>
    <w:p w:rsidR="009F5F93" w:rsidRPr="00DC5C82" w:rsidRDefault="00DC5C82" w:rsidP="00DC5C82">
      <w:pPr>
        <w:tabs>
          <w:tab w:val="left" w:pos="8820"/>
          <w:tab w:val="left" w:pos="9180"/>
        </w:tabs>
        <w:autoSpaceDE w:val="0"/>
        <w:autoSpaceDN w:val="0"/>
        <w:adjustRightInd w:val="0"/>
        <w:spacing w:before="100" w:beforeAutospacing="1" w:after="100" w:afterAutospacing="1" w:line="360" w:lineRule="auto"/>
        <w:ind w:left="-630" w:right="-806"/>
        <w:jc w:val="both"/>
        <w:rPr>
          <w:rFonts w:ascii="Times New Roman" w:hAnsi="Times New Roman" w:cs="Times New Roman"/>
          <w:color w:val="000000"/>
          <w:sz w:val="28"/>
          <w:szCs w:val="28"/>
        </w:rPr>
      </w:pPr>
      <w:r w:rsidRPr="00DC5C82">
        <w:rPr>
          <w:rFonts w:ascii="Times New Roman" w:hAnsi="Times New Roman" w:cs="Times New Roman"/>
          <w:b/>
          <w:bCs/>
          <w:color w:val="000000"/>
          <w:sz w:val="28"/>
          <w:szCs w:val="28"/>
        </w:rPr>
        <w:t xml:space="preserve">32. </w:t>
      </w:r>
      <w:r w:rsidRPr="00DC5C82">
        <w:rPr>
          <w:rFonts w:ascii="Times New Roman" w:hAnsi="Times New Roman" w:cs="Times New Roman"/>
          <w:color w:val="000000"/>
          <w:sz w:val="28"/>
          <w:szCs w:val="28"/>
        </w:rPr>
        <w:t>Đối với tá dược witepsol và PEG thì không cần bôi trơn khuôn trước khi đổ thuốc vào khuôn.</w:t>
      </w:r>
    </w:p>
    <w:sectPr w:rsidR="009F5F93" w:rsidRPr="00DC5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EF"/>
    <w:rsid w:val="009F5F93"/>
    <w:rsid w:val="00B23FEF"/>
    <w:rsid w:val="00D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A2FE-C7B9-4AF6-B9EE-C7889806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8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Company>Microsoft</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2</cp:revision>
  <dcterms:created xsi:type="dcterms:W3CDTF">2020-03-05T12:13:00Z</dcterms:created>
  <dcterms:modified xsi:type="dcterms:W3CDTF">2020-03-05T12:14:00Z</dcterms:modified>
</cp:coreProperties>
</file>