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13" w:rsidRPr="00062B9D" w:rsidRDefault="00062B9D" w:rsidP="00062B9D">
      <w:pPr>
        <w:jc w:val="center"/>
        <w:rPr>
          <w:rFonts w:ascii="Times New Roman" w:hAnsi="Times New Roman" w:cs="Times New Roman"/>
          <w:b/>
          <w:sz w:val="32"/>
        </w:rPr>
      </w:pPr>
      <w:r w:rsidRPr="00062B9D">
        <w:rPr>
          <w:rFonts w:ascii="Times New Roman" w:hAnsi="Times New Roman" w:cs="Times New Roman"/>
          <w:b/>
          <w:sz w:val="32"/>
        </w:rPr>
        <w:t>THUỐC ĐẶT</w:t>
      </w:r>
    </w:p>
    <w:p w:rsidR="00062B9D" w:rsidRPr="001D4CAF" w:rsidRDefault="00062B9D" w:rsidP="00062B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-900" w:right="-893" w:firstLin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Phân biệt đúng sai </w:t>
      </w:r>
      <w:bookmarkStart w:id="0" w:name="_GoBack"/>
      <w:bookmarkEnd w:id="0"/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Thuốc đạn chi gây ra tác dụng điều trị toàn thân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21.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Thuốc trứng được dùng chủ yếu để gây tác dụng điều trị toàn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thân.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Dược chất ở dạng thuốc đặt được hấp thu chủ yếu theo tĩnh mạch trực tràng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trên và dưới.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Thuốc đặt trực tràng thích hợp cho trẻ em.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Thuốc đặt trực tràng không dùng cho bệnh nhân ở trạng thái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hôn mê.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25.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Thời gian biến dạng hoàn toàn của thuốc đạn dùng tá dược béo theo qui định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 DĐVN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III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phải dưới 15 phút.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Thời gian biến dạng hoàn toàn của thuốc đạn dùng tá dược thân nước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theo qui định của DĐVN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III phải dưới 30 phút.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thuốc đặt thân đầu chảy ở thân nhiệt để giải phóng hoạt chất.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thuốc đặt thân nước dễ chảy </w:t>
      </w:r>
      <w:r w:rsidRPr="001D4CA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ở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thân nhiệt để giải phóng hoạt chất.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29.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Butyrol là tá dược thay thế bơ cacao, có khả năng nhũ hoá tốt hơn và bền vững hơn.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30.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Cả bơ cacao lẫn butyrol đều dễ bị ôi khét trong quá trình bảo quản.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31.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Các tá dược Witepsol có khả năng nhũ hoá tốt hơn bơ cacao.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Dầu, mỡ hydrogen hoá có độ chảy cao hơn 40°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vì vậy thích hợp cho những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nước khí hậu nhiệt đới.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gelatin- glycerin đùng cho thuốc đặt không đun nóng quá 60°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PEG có nhiệt độ nóng chảy cao vì vậy dùng thích hợp làm tá dược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thuốc đặt ở các nước nhiệt đới.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35.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Tá dược nhũ hoá dùng cho thuốc đặt có khả năng hút nước trong niêm dịch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tạo nhũ tương.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được nhũ tương có nhược điểm là giải phóng dược chất chậm.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Điều chế thuốc đặt bằng phương pháp đổ khuôn thích hợp ở qui mô nhỏ.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Điều chế thuốc đặt bằng phương pháp đổ khuôn phải tính hư hao nguyên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phụ liệu khoảng 10 %.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39.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sử dụng phương pháp đun chảy đổ khuôn để điều chế thuốc đặt phải chú ý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tới hệ số thay thế khi lượng được chất trong một viên thuốc nhỏ hơn 0,05</w:t>
      </w:r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g.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40.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Hệ số thay thế chỉ áp dụng với tá dược bơ cacao, không áp dụng với tá dược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khác khi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điều chế thuốc đặt bằng phương pháp đun chảy đổ khuôn.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41.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đun chảy bơ cacao, thường đun cách thuỷ, nhiệt độ không quá 60°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để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tránh hiện tượng chậm đông.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Phương pháp ép khuôn điều chế thuốc đặt phù hợp với qui mô công nghiệp.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Nghiên cứu in vitro đánh giá khả năng giải phóng dược chất ra khỏi thuốc đạn có thể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kết quả vệ sinh khả dụng của thuốc một cách chính xác.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Từ kết quả nghiên cứu in vivo, so sánh với sự hấp thu qua đường khác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(tiêm tĩnh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mạch, uống), có thể tính được sinh khả dụng của thuốc dưới dạng thuốc đặt.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45.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Sự hấp thu dược chất dưới dạng thuốc đạn phụ thuộc vào vị trí đặt viên thuốc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trực tràng.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Đường trực tràng thích hợp với các dược chất có tính kích ứng mạnh đường tiêu hoá.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Sinh khả dụng của dược chất dưới dạng thuốc đặt rất ổn định.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Witepsol thích hợp cho cả 3 phương pháp điều chế thuốc đạn.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49.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Dầu hydrogen hoá làm tá dược thuốc đạn thường là dầu lạc.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50.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Dầu hydrogen hoá làm tá dược thuốc đạn thường dầu khoáng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vật.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51.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Thuốc đặt chế với tá dược thạch thường dẻo dai hơn là chế với tá dược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gelatin - glycerin.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Các PEG hay phối hợp làm tá dược thuốc đạn là: PEG 1000. 1500, 2000 và 4000.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Các PEG hay phối hợp làm tá dược thuốc đạn là: PEG 200, 300,400 và 10000.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bằng phương pháp đổ khuôn, người ta thường dùng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dầu parafin để bôi trơn khuôn trong trường hợp dùng tá dược thân dầu.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55.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bằng phương pháp đổ khuôn, người ta thường d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ù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dung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dịch xà phòng trong cồn để bôi ươn khuôn trong trường hợp dùng tá dược thân nước.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Dược điển Việt Nam m qui định thử độ rã của thuốc đạn bằng dụng cụ riêng,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không giống viên nén.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với tá dược béo, nếu dược chất đễ tan trong tá dược, </w:t>
      </w:r>
    </w:p>
    <w:p w:rsidR="00062B9D" w:rsidRPr="001D4CAF" w:rsidRDefault="00062B9D" w:rsidP="00062B9D">
      <w:pPr>
        <w:numPr>
          <w:ilvl w:val="1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thì đun chảy toàn bộ tá dược rồi hoà tan dược chất.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với tá dược béo, nếu dược chất rắn không tan trong tá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dược, phải thay bằng tá dược nhũ hoá.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59.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với tá dược thân nước, nếu dược chất rắn không tan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tá dược, thì hoà tan trong một lượng nhỏ dầu thực vật rồi phối hợp với tá dược.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60.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với tá dược thân nước, nếu dược chất dễ tan trong dung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môi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220"/>
          <w:tab w:val="left" w:pos="720"/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06" w:right="-893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phân cực, cần hoà tan ưong một lượng glycerin hoặc nước sau đó phối hợp với tá dược.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61.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Hệ số thay thế thuận (E) của một dược chất với bơ ca cao là lượng dược chất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thay thế cho 1 gam bơ cao cao khi đổ khuôn.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đổ khuôn với tá dược bơ ca cao, thường duy trì nhiệt độ 27-28°C.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Để dễ lấy thuốc ra khỏi khuôn trong phương pháp đun chảy đổ khuôn thuốc đặt,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người ta đặt khuôn đã đổ vào nơi có nhiệt độ dưới 25°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Thuốc đặt được bảo quản </w:t>
      </w:r>
      <w:r w:rsidRPr="001D4CA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ở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điều kiện khô, mát, nhiệt độ &lt; 30°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65.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Phương pháp hoà tan để đánh giá khả năng giải phóng dược chất ra khỏi thuốc đạn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chỉ có ý nghĩa định hướng.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Phương pháp khuếch tán qua màng để xác định khả năng giải phóng dược chất ra 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khỏi thuốc đạn cho kết quả gần với sự hấp thu của dược chất qua niêm mạc trực tràng.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>S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Witepsol dùng cho thuốc đạn dễ bị ôi khét trong quá trình bảo quản.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Tá dược PEG dùng cho thuốc đặt không ổn định trong quá trình bảo quản.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p w:rsidR="00062B9D" w:rsidRPr="001D4CAF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69.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 Khi điều chế thuốc đặt với tá dược béo, nếu dược chất dễ tan trong nước hoặc</w:t>
      </w:r>
    </w:p>
    <w:p w:rsidR="00062B9D" w:rsidRPr="00062B9D" w:rsidRDefault="00062B9D" w:rsidP="00062B9D">
      <w:pPr>
        <w:numPr>
          <w:ilvl w:val="0"/>
          <w:numId w:val="1"/>
        </w:numPr>
        <w:tabs>
          <w:tab w:val="left" w:pos="8640"/>
          <w:tab w:val="left" w:pos="90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810" w:right="-718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chất lỏng phân cực, phải dùng tá dược nhũ hoá. 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ab/>
        <w:t>S</w:t>
      </w:r>
    </w:p>
    <w:sectPr w:rsidR="00062B9D" w:rsidRPr="0006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CB7394E"/>
    <w:multiLevelType w:val="hybridMultilevel"/>
    <w:tmpl w:val="DA441D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9D"/>
    <w:rsid w:val="00062B9D"/>
    <w:rsid w:val="008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09A2-756B-4665-916E-19BD0228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B9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0</DocSecurity>
  <Lines>43</Lines>
  <Paragraphs>12</Paragraphs>
  <ScaleCrop>false</ScaleCrop>
  <Company>Microsoft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1</cp:revision>
  <dcterms:created xsi:type="dcterms:W3CDTF">2019-08-17T08:13:00Z</dcterms:created>
  <dcterms:modified xsi:type="dcterms:W3CDTF">2019-08-17T08:15:00Z</dcterms:modified>
</cp:coreProperties>
</file>