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45"/>
        <w:gridCol w:w="7463"/>
      </w:tblGrid>
      <w:tr w:rsidR="004831F8" w:rsidRPr="00A731E8" w:rsidTr="00603146">
        <w:tc>
          <w:tcPr>
            <w:tcW w:w="1345" w:type="dxa"/>
          </w:tcPr>
          <w:p w:rsidR="004831F8" w:rsidRPr="00A731E8" w:rsidRDefault="004831F8" w:rsidP="00603146">
            <w:pPr>
              <w:jc w:val="center"/>
              <w:rPr>
                <w:rFonts w:ascii="Times New Roman" w:hAnsi="Times New Roman"/>
                <w:b/>
                <w:i/>
                <w:sz w:val="26"/>
                <w:szCs w:val="26"/>
              </w:rPr>
            </w:pPr>
            <w:r w:rsidRPr="00A731E8">
              <w:rPr>
                <w:rFonts w:ascii="Times New Roman" w:hAnsi="Times New Roman"/>
                <w:b/>
                <w:i/>
                <w:sz w:val="26"/>
                <w:szCs w:val="26"/>
              </w:rPr>
              <w:t>Quan hệ nhân quả</w:t>
            </w:r>
          </w:p>
        </w:tc>
        <w:tc>
          <w:tcPr>
            <w:tcW w:w="7463" w:type="dxa"/>
          </w:tcPr>
          <w:p w:rsidR="004831F8" w:rsidRPr="00A731E8" w:rsidRDefault="004831F8" w:rsidP="00603146">
            <w:pPr>
              <w:jc w:val="center"/>
              <w:rPr>
                <w:rFonts w:ascii="Times New Roman" w:hAnsi="Times New Roman"/>
                <w:b/>
                <w:i/>
                <w:sz w:val="26"/>
                <w:szCs w:val="26"/>
              </w:rPr>
            </w:pPr>
            <w:r w:rsidRPr="00A731E8">
              <w:rPr>
                <w:rFonts w:ascii="Times New Roman" w:hAnsi="Times New Roman"/>
                <w:b/>
                <w:i/>
                <w:sz w:val="26"/>
                <w:szCs w:val="26"/>
              </w:rPr>
              <w:t>Tiêu chuẩn đánh giá</w:t>
            </w:r>
          </w:p>
        </w:tc>
      </w:tr>
      <w:tr w:rsidR="004831F8" w:rsidRPr="00A731E8" w:rsidTr="00603146">
        <w:tc>
          <w:tcPr>
            <w:tcW w:w="1345" w:type="dxa"/>
            <w:vMerge w:val="restart"/>
          </w:tcPr>
          <w:p w:rsidR="004831F8" w:rsidRPr="00A731E8" w:rsidRDefault="004831F8" w:rsidP="00603146">
            <w:pPr>
              <w:jc w:val="center"/>
              <w:rPr>
                <w:rFonts w:ascii="Times New Roman" w:hAnsi="Times New Roman"/>
                <w:sz w:val="26"/>
                <w:szCs w:val="26"/>
              </w:rPr>
            </w:pPr>
          </w:p>
          <w:p w:rsidR="004831F8" w:rsidRPr="00A731E8" w:rsidRDefault="004831F8" w:rsidP="00603146">
            <w:pPr>
              <w:jc w:val="center"/>
              <w:rPr>
                <w:rFonts w:ascii="Times New Roman" w:hAnsi="Times New Roman"/>
                <w:sz w:val="26"/>
                <w:szCs w:val="26"/>
              </w:rPr>
            </w:pPr>
          </w:p>
          <w:p w:rsidR="004831F8" w:rsidRPr="00A731E8" w:rsidRDefault="004831F8" w:rsidP="00603146">
            <w:pPr>
              <w:jc w:val="center"/>
              <w:rPr>
                <w:rFonts w:ascii="Times New Roman" w:hAnsi="Times New Roman"/>
                <w:sz w:val="26"/>
                <w:szCs w:val="26"/>
              </w:rPr>
            </w:pPr>
          </w:p>
          <w:p w:rsidR="004831F8" w:rsidRPr="00A731E8" w:rsidRDefault="004831F8" w:rsidP="00603146">
            <w:pPr>
              <w:jc w:val="center"/>
              <w:rPr>
                <w:rFonts w:ascii="Times New Roman" w:hAnsi="Times New Roman"/>
                <w:sz w:val="26"/>
                <w:szCs w:val="26"/>
              </w:rPr>
            </w:pPr>
          </w:p>
          <w:p w:rsidR="004831F8" w:rsidRPr="00A731E8" w:rsidRDefault="004831F8" w:rsidP="00603146">
            <w:pPr>
              <w:jc w:val="center"/>
              <w:rPr>
                <w:rFonts w:ascii="Times New Roman" w:hAnsi="Times New Roman"/>
                <w:sz w:val="26"/>
                <w:szCs w:val="26"/>
              </w:rPr>
            </w:pPr>
            <w:r w:rsidRPr="00A731E8">
              <w:rPr>
                <w:rFonts w:ascii="Times New Roman" w:hAnsi="Times New Roman"/>
                <w:sz w:val="26"/>
                <w:szCs w:val="26"/>
              </w:rPr>
              <w:t>Chắc chắn</w:t>
            </w:r>
          </w:p>
        </w:tc>
        <w:tc>
          <w:tcPr>
            <w:tcW w:w="7463" w:type="dxa"/>
          </w:tcPr>
          <w:p w:rsidR="004831F8" w:rsidRPr="00A731E8" w:rsidRDefault="004831F8" w:rsidP="00603146">
            <w:pPr>
              <w:jc w:val="both"/>
              <w:rPr>
                <w:rFonts w:ascii="Times New Roman" w:hAnsi="Times New Roman"/>
                <w:sz w:val="26"/>
                <w:szCs w:val="26"/>
              </w:rPr>
            </w:pPr>
            <w:r w:rsidRPr="00A731E8">
              <w:rPr>
                <w:rFonts w:ascii="Times New Roman" w:hAnsi="Times New Roman"/>
                <w:sz w:val="26"/>
                <w:szCs w:val="26"/>
              </w:rPr>
              <w:t>Phản ứng được mô tả (biểu hiện lâm sàng hoặc cận lâm sàng bất thường) có mối liên hệ rất chặt chẽ với thời gian sử dụng thuốc.</w:t>
            </w:r>
          </w:p>
        </w:tc>
      </w:tr>
      <w:tr w:rsidR="004831F8" w:rsidRPr="00A731E8" w:rsidTr="00603146">
        <w:tc>
          <w:tcPr>
            <w:tcW w:w="1345" w:type="dxa"/>
            <w:vMerge/>
          </w:tcPr>
          <w:p w:rsidR="004831F8" w:rsidRPr="00A731E8" w:rsidRDefault="004831F8" w:rsidP="00603146">
            <w:pPr>
              <w:jc w:val="both"/>
              <w:rPr>
                <w:rFonts w:ascii="Times New Roman" w:hAnsi="Times New Roman"/>
                <w:sz w:val="26"/>
                <w:szCs w:val="26"/>
              </w:rPr>
            </w:pPr>
          </w:p>
        </w:tc>
        <w:tc>
          <w:tcPr>
            <w:tcW w:w="7463" w:type="dxa"/>
          </w:tcPr>
          <w:p w:rsidR="004831F8" w:rsidRPr="00A731E8" w:rsidRDefault="004831F8" w:rsidP="00603146">
            <w:pPr>
              <w:jc w:val="both"/>
              <w:rPr>
                <w:rFonts w:ascii="Times New Roman" w:hAnsi="Times New Roman"/>
                <w:sz w:val="26"/>
                <w:szCs w:val="26"/>
              </w:rPr>
            </w:pPr>
            <w:r w:rsidRPr="00A731E8">
              <w:rPr>
                <w:rFonts w:ascii="Times New Roman" w:hAnsi="Times New Roman"/>
                <w:sz w:val="26"/>
                <w:szCs w:val="26"/>
              </w:rPr>
              <w:t>Không thể giải thích bằng tình trạng bệnh lý của người bệnh hoặc các thuốc sử dụn</w:t>
            </w:r>
            <w:bookmarkStart w:id="0" w:name="_GoBack"/>
            <w:bookmarkEnd w:id="0"/>
            <w:r w:rsidRPr="00A731E8">
              <w:rPr>
                <w:rFonts w:ascii="Times New Roman" w:hAnsi="Times New Roman"/>
                <w:sz w:val="26"/>
                <w:szCs w:val="26"/>
              </w:rPr>
              <w:t>g đồng thời với thuốc nghi ngờ.</w:t>
            </w:r>
          </w:p>
        </w:tc>
      </w:tr>
      <w:tr w:rsidR="004831F8" w:rsidRPr="00A731E8" w:rsidTr="00603146">
        <w:tc>
          <w:tcPr>
            <w:tcW w:w="1345" w:type="dxa"/>
            <w:vMerge/>
          </w:tcPr>
          <w:p w:rsidR="004831F8" w:rsidRPr="00A731E8" w:rsidRDefault="004831F8" w:rsidP="00603146">
            <w:pPr>
              <w:jc w:val="both"/>
              <w:rPr>
                <w:rFonts w:ascii="Times New Roman" w:hAnsi="Times New Roman"/>
                <w:sz w:val="26"/>
                <w:szCs w:val="26"/>
              </w:rPr>
            </w:pPr>
          </w:p>
        </w:tc>
        <w:tc>
          <w:tcPr>
            <w:tcW w:w="7463" w:type="dxa"/>
          </w:tcPr>
          <w:p w:rsidR="004831F8" w:rsidRPr="00A731E8" w:rsidRDefault="004831F8" w:rsidP="00603146">
            <w:pPr>
              <w:jc w:val="both"/>
              <w:rPr>
                <w:rFonts w:ascii="Times New Roman" w:hAnsi="Times New Roman"/>
                <w:sz w:val="26"/>
                <w:szCs w:val="26"/>
              </w:rPr>
            </w:pPr>
            <w:r w:rsidRPr="00A731E8">
              <w:rPr>
                <w:rFonts w:ascii="Times New Roman" w:hAnsi="Times New Roman"/>
                <w:sz w:val="26"/>
                <w:szCs w:val="26"/>
              </w:rPr>
              <w:t>Ngừng sử dụng thuốc thì các biểu hiện của phản ứng được cải thiện</w:t>
            </w:r>
          </w:p>
        </w:tc>
      </w:tr>
      <w:tr w:rsidR="004831F8" w:rsidRPr="00A731E8" w:rsidTr="00603146">
        <w:tc>
          <w:tcPr>
            <w:tcW w:w="1345" w:type="dxa"/>
            <w:vMerge/>
          </w:tcPr>
          <w:p w:rsidR="004831F8" w:rsidRPr="00A731E8" w:rsidRDefault="004831F8" w:rsidP="00603146">
            <w:pPr>
              <w:jc w:val="both"/>
              <w:rPr>
                <w:rFonts w:ascii="Times New Roman" w:hAnsi="Times New Roman"/>
                <w:sz w:val="26"/>
                <w:szCs w:val="26"/>
              </w:rPr>
            </w:pPr>
          </w:p>
        </w:tc>
        <w:tc>
          <w:tcPr>
            <w:tcW w:w="7463" w:type="dxa"/>
          </w:tcPr>
          <w:p w:rsidR="004831F8" w:rsidRPr="00A731E8" w:rsidRDefault="004831F8" w:rsidP="00603146">
            <w:pPr>
              <w:jc w:val="both"/>
              <w:rPr>
                <w:rFonts w:ascii="Times New Roman" w:hAnsi="Times New Roman"/>
                <w:sz w:val="26"/>
                <w:szCs w:val="26"/>
              </w:rPr>
            </w:pPr>
            <w:r w:rsidRPr="00A731E8">
              <w:rPr>
                <w:rFonts w:ascii="Times New Roman" w:hAnsi="Times New Roman"/>
                <w:sz w:val="26"/>
                <w:szCs w:val="26"/>
              </w:rPr>
              <w:t>Phản ứng là tác dụng bất lợi đặc trưng đã được biết đến của thuốc (có cơ chế dược lý rõ ràng)</w:t>
            </w:r>
          </w:p>
        </w:tc>
      </w:tr>
      <w:tr w:rsidR="004831F8" w:rsidRPr="00A731E8" w:rsidTr="00603146">
        <w:tc>
          <w:tcPr>
            <w:tcW w:w="1345" w:type="dxa"/>
            <w:vMerge/>
          </w:tcPr>
          <w:p w:rsidR="004831F8" w:rsidRPr="00A731E8" w:rsidRDefault="004831F8" w:rsidP="00603146">
            <w:pPr>
              <w:jc w:val="both"/>
              <w:rPr>
                <w:rFonts w:ascii="Times New Roman" w:hAnsi="Times New Roman"/>
                <w:sz w:val="26"/>
                <w:szCs w:val="26"/>
              </w:rPr>
            </w:pPr>
          </w:p>
        </w:tc>
        <w:tc>
          <w:tcPr>
            <w:tcW w:w="7463" w:type="dxa"/>
          </w:tcPr>
          <w:p w:rsidR="004831F8" w:rsidRPr="00A731E8" w:rsidRDefault="004831F8" w:rsidP="00603146">
            <w:pPr>
              <w:jc w:val="both"/>
              <w:rPr>
                <w:rFonts w:ascii="Times New Roman" w:hAnsi="Times New Roman"/>
                <w:sz w:val="26"/>
                <w:szCs w:val="26"/>
              </w:rPr>
            </w:pPr>
            <w:r w:rsidRPr="00A731E8">
              <w:rPr>
                <w:rFonts w:ascii="Times New Roman" w:hAnsi="Times New Roman"/>
                <w:sz w:val="26"/>
                <w:szCs w:val="26"/>
              </w:rPr>
              <w:t>Tái sử dụng thuốc (nếu có thể) cho phản ứng lặp lại một cách tương tự.</w:t>
            </w:r>
          </w:p>
        </w:tc>
      </w:tr>
      <w:tr w:rsidR="004831F8" w:rsidRPr="00A731E8" w:rsidTr="00603146">
        <w:tc>
          <w:tcPr>
            <w:tcW w:w="1345" w:type="dxa"/>
            <w:vMerge w:val="restart"/>
          </w:tcPr>
          <w:p w:rsidR="004831F8" w:rsidRPr="00A731E8" w:rsidRDefault="004831F8" w:rsidP="00603146">
            <w:pPr>
              <w:jc w:val="center"/>
              <w:rPr>
                <w:rFonts w:ascii="Times New Roman" w:hAnsi="Times New Roman"/>
                <w:sz w:val="26"/>
                <w:szCs w:val="26"/>
              </w:rPr>
            </w:pPr>
          </w:p>
          <w:p w:rsidR="004831F8" w:rsidRPr="00A731E8" w:rsidRDefault="004831F8" w:rsidP="00603146">
            <w:pPr>
              <w:jc w:val="center"/>
              <w:rPr>
                <w:rFonts w:ascii="Times New Roman" w:hAnsi="Times New Roman"/>
                <w:sz w:val="26"/>
                <w:szCs w:val="26"/>
              </w:rPr>
            </w:pPr>
          </w:p>
          <w:p w:rsidR="004831F8" w:rsidRPr="00A731E8" w:rsidRDefault="004831F8" w:rsidP="00603146">
            <w:pPr>
              <w:jc w:val="center"/>
              <w:rPr>
                <w:rFonts w:ascii="Times New Roman" w:hAnsi="Times New Roman"/>
                <w:sz w:val="26"/>
                <w:szCs w:val="26"/>
              </w:rPr>
            </w:pPr>
            <w:r w:rsidRPr="00A731E8">
              <w:rPr>
                <w:rFonts w:ascii="Times New Roman" w:hAnsi="Times New Roman"/>
                <w:sz w:val="26"/>
                <w:szCs w:val="26"/>
              </w:rPr>
              <w:t>Có khả năng</w:t>
            </w:r>
          </w:p>
        </w:tc>
        <w:tc>
          <w:tcPr>
            <w:tcW w:w="7463" w:type="dxa"/>
          </w:tcPr>
          <w:p w:rsidR="004831F8" w:rsidRPr="00A731E8" w:rsidRDefault="004831F8" w:rsidP="00603146">
            <w:pPr>
              <w:jc w:val="both"/>
              <w:rPr>
                <w:rFonts w:ascii="Times New Roman" w:hAnsi="Times New Roman"/>
                <w:sz w:val="26"/>
                <w:szCs w:val="26"/>
              </w:rPr>
            </w:pPr>
            <w:r w:rsidRPr="00A731E8">
              <w:rPr>
                <w:rFonts w:ascii="Times New Roman" w:hAnsi="Times New Roman"/>
                <w:sz w:val="26"/>
                <w:szCs w:val="26"/>
              </w:rPr>
              <w:t>Phản ứng được mô tả có mối liên hệ hợp lý với thời gian sử dụng thuốc.</w:t>
            </w:r>
          </w:p>
        </w:tc>
      </w:tr>
      <w:tr w:rsidR="004831F8" w:rsidRPr="00A731E8" w:rsidTr="00603146">
        <w:tc>
          <w:tcPr>
            <w:tcW w:w="1345" w:type="dxa"/>
            <w:vMerge/>
          </w:tcPr>
          <w:p w:rsidR="004831F8" w:rsidRPr="00A731E8" w:rsidRDefault="004831F8" w:rsidP="00603146">
            <w:pPr>
              <w:jc w:val="both"/>
              <w:rPr>
                <w:rFonts w:ascii="Times New Roman" w:hAnsi="Times New Roman"/>
                <w:sz w:val="26"/>
                <w:szCs w:val="26"/>
              </w:rPr>
            </w:pPr>
          </w:p>
        </w:tc>
        <w:tc>
          <w:tcPr>
            <w:tcW w:w="7463" w:type="dxa"/>
          </w:tcPr>
          <w:p w:rsidR="004831F8" w:rsidRPr="00A731E8" w:rsidRDefault="004831F8" w:rsidP="00603146">
            <w:pPr>
              <w:jc w:val="both"/>
              <w:rPr>
                <w:rFonts w:ascii="Times New Roman" w:hAnsi="Times New Roman"/>
                <w:sz w:val="26"/>
                <w:szCs w:val="26"/>
              </w:rPr>
            </w:pPr>
            <w:r w:rsidRPr="00A731E8">
              <w:rPr>
                <w:rFonts w:ascii="Times New Roman" w:hAnsi="Times New Roman"/>
                <w:sz w:val="26"/>
                <w:szCs w:val="26"/>
              </w:rPr>
              <w:t>Nguyên nhân gây ra phản ứng không chắc chắn là do bệnh lý hiện tại của người bệnh hoặc các thuốc sử dụng đồng thời.</w:t>
            </w:r>
          </w:p>
        </w:tc>
      </w:tr>
      <w:tr w:rsidR="004831F8" w:rsidRPr="00A731E8" w:rsidTr="00603146">
        <w:tc>
          <w:tcPr>
            <w:tcW w:w="1345" w:type="dxa"/>
            <w:vMerge/>
          </w:tcPr>
          <w:p w:rsidR="004831F8" w:rsidRPr="00A731E8" w:rsidRDefault="004831F8" w:rsidP="00603146">
            <w:pPr>
              <w:jc w:val="both"/>
              <w:rPr>
                <w:rFonts w:ascii="Times New Roman" w:hAnsi="Times New Roman"/>
                <w:sz w:val="26"/>
                <w:szCs w:val="26"/>
              </w:rPr>
            </w:pPr>
          </w:p>
        </w:tc>
        <w:tc>
          <w:tcPr>
            <w:tcW w:w="7463" w:type="dxa"/>
          </w:tcPr>
          <w:p w:rsidR="004831F8" w:rsidRPr="00A731E8" w:rsidRDefault="004831F8" w:rsidP="00603146">
            <w:pPr>
              <w:jc w:val="both"/>
              <w:rPr>
                <w:rFonts w:ascii="Times New Roman" w:hAnsi="Times New Roman"/>
                <w:sz w:val="26"/>
                <w:szCs w:val="26"/>
              </w:rPr>
            </w:pPr>
            <w:r w:rsidRPr="00A731E8">
              <w:rPr>
                <w:rFonts w:ascii="Times New Roman" w:hAnsi="Times New Roman"/>
                <w:sz w:val="26"/>
                <w:szCs w:val="26"/>
              </w:rPr>
              <w:t>Ngừng sử dụng thuốc thì các biểu hiện của phản ứng được cải thiện.</w:t>
            </w:r>
          </w:p>
        </w:tc>
      </w:tr>
      <w:tr w:rsidR="004831F8" w:rsidRPr="00A731E8" w:rsidTr="00603146">
        <w:tc>
          <w:tcPr>
            <w:tcW w:w="1345" w:type="dxa"/>
            <w:vMerge/>
          </w:tcPr>
          <w:p w:rsidR="004831F8" w:rsidRPr="00A731E8" w:rsidRDefault="004831F8" w:rsidP="00603146">
            <w:pPr>
              <w:jc w:val="both"/>
              <w:rPr>
                <w:rFonts w:ascii="Times New Roman" w:hAnsi="Times New Roman"/>
                <w:sz w:val="26"/>
                <w:szCs w:val="26"/>
              </w:rPr>
            </w:pPr>
          </w:p>
        </w:tc>
        <w:tc>
          <w:tcPr>
            <w:tcW w:w="7463" w:type="dxa"/>
          </w:tcPr>
          <w:p w:rsidR="004831F8" w:rsidRPr="00A731E8" w:rsidRDefault="004831F8" w:rsidP="00603146">
            <w:pPr>
              <w:jc w:val="both"/>
              <w:rPr>
                <w:rFonts w:ascii="Times New Roman" w:hAnsi="Times New Roman"/>
                <w:sz w:val="26"/>
                <w:szCs w:val="26"/>
              </w:rPr>
            </w:pPr>
            <w:r w:rsidRPr="00A731E8">
              <w:rPr>
                <w:rFonts w:ascii="Times New Roman" w:hAnsi="Times New Roman"/>
                <w:sz w:val="26"/>
                <w:szCs w:val="26"/>
              </w:rPr>
              <w:t>Không cần thiết phải có thông tin về tái sử dụng thuốc.</w:t>
            </w:r>
          </w:p>
        </w:tc>
      </w:tr>
      <w:tr w:rsidR="004831F8" w:rsidRPr="00A731E8" w:rsidTr="00603146">
        <w:tc>
          <w:tcPr>
            <w:tcW w:w="1345" w:type="dxa"/>
            <w:vMerge w:val="restart"/>
          </w:tcPr>
          <w:p w:rsidR="004831F8" w:rsidRPr="00A731E8" w:rsidRDefault="004831F8" w:rsidP="00603146">
            <w:pPr>
              <w:jc w:val="both"/>
              <w:rPr>
                <w:rFonts w:ascii="Times New Roman" w:hAnsi="Times New Roman"/>
                <w:sz w:val="26"/>
                <w:szCs w:val="26"/>
              </w:rPr>
            </w:pPr>
          </w:p>
          <w:p w:rsidR="004831F8" w:rsidRPr="00A731E8" w:rsidRDefault="004831F8" w:rsidP="00603146">
            <w:pPr>
              <w:jc w:val="both"/>
              <w:rPr>
                <w:rFonts w:ascii="Times New Roman" w:hAnsi="Times New Roman"/>
                <w:sz w:val="26"/>
                <w:szCs w:val="26"/>
              </w:rPr>
            </w:pPr>
          </w:p>
          <w:p w:rsidR="004831F8" w:rsidRPr="00A731E8" w:rsidRDefault="004831F8" w:rsidP="00603146">
            <w:pPr>
              <w:jc w:val="both"/>
              <w:rPr>
                <w:rFonts w:ascii="Times New Roman" w:hAnsi="Times New Roman"/>
                <w:sz w:val="26"/>
                <w:szCs w:val="26"/>
              </w:rPr>
            </w:pPr>
          </w:p>
          <w:p w:rsidR="004831F8" w:rsidRPr="00A731E8" w:rsidRDefault="004831F8" w:rsidP="00603146">
            <w:pPr>
              <w:jc w:val="center"/>
              <w:rPr>
                <w:rFonts w:ascii="Times New Roman" w:hAnsi="Times New Roman"/>
                <w:sz w:val="26"/>
                <w:szCs w:val="26"/>
              </w:rPr>
            </w:pPr>
            <w:r w:rsidRPr="00A731E8">
              <w:rPr>
                <w:rFonts w:ascii="Times New Roman" w:hAnsi="Times New Roman"/>
                <w:sz w:val="26"/>
                <w:szCs w:val="26"/>
              </w:rPr>
              <w:t>Có thể</w:t>
            </w:r>
          </w:p>
        </w:tc>
        <w:tc>
          <w:tcPr>
            <w:tcW w:w="7463" w:type="dxa"/>
          </w:tcPr>
          <w:p w:rsidR="004831F8" w:rsidRPr="00A731E8" w:rsidRDefault="004831F8" w:rsidP="00603146">
            <w:pPr>
              <w:jc w:val="both"/>
              <w:rPr>
                <w:rFonts w:ascii="Times New Roman" w:hAnsi="Times New Roman"/>
                <w:sz w:val="26"/>
                <w:szCs w:val="26"/>
              </w:rPr>
            </w:pPr>
            <w:r w:rsidRPr="00A731E8">
              <w:rPr>
                <w:rFonts w:ascii="Times New Roman" w:hAnsi="Times New Roman"/>
                <w:sz w:val="26"/>
                <w:szCs w:val="26"/>
              </w:rPr>
              <w:t>Phản ứng được mô tả có mỗi liên hệ hợp lý với thời gian sử dụng thuốc.</w:t>
            </w:r>
          </w:p>
        </w:tc>
      </w:tr>
      <w:tr w:rsidR="004831F8" w:rsidRPr="00A731E8" w:rsidTr="00603146">
        <w:tc>
          <w:tcPr>
            <w:tcW w:w="1345" w:type="dxa"/>
            <w:vMerge/>
          </w:tcPr>
          <w:p w:rsidR="004831F8" w:rsidRPr="00A731E8" w:rsidRDefault="004831F8" w:rsidP="00603146">
            <w:pPr>
              <w:jc w:val="both"/>
              <w:rPr>
                <w:rFonts w:ascii="Times New Roman" w:hAnsi="Times New Roman"/>
                <w:sz w:val="26"/>
                <w:szCs w:val="26"/>
              </w:rPr>
            </w:pPr>
          </w:p>
        </w:tc>
        <w:tc>
          <w:tcPr>
            <w:tcW w:w="7463" w:type="dxa"/>
          </w:tcPr>
          <w:p w:rsidR="004831F8" w:rsidRPr="00A731E8" w:rsidRDefault="004831F8" w:rsidP="00603146">
            <w:pPr>
              <w:jc w:val="both"/>
              <w:rPr>
                <w:rFonts w:ascii="Times New Roman" w:hAnsi="Times New Roman"/>
                <w:sz w:val="26"/>
                <w:szCs w:val="26"/>
              </w:rPr>
            </w:pPr>
            <w:r w:rsidRPr="00A731E8">
              <w:rPr>
                <w:rFonts w:ascii="Times New Roman" w:hAnsi="Times New Roman"/>
                <w:sz w:val="26"/>
                <w:szCs w:val="26"/>
              </w:rPr>
              <w:t>Có thể giải thích nguyên nhân xảy ra phản ứng bằng tình trạng bệnh lý của người bệnh hoặc các thuốc sử dụng đồng thời.</w:t>
            </w:r>
          </w:p>
        </w:tc>
      </w:tr>
      <w:tr w:rsidR="004831F8" w:rsidRPr="00A731E8" w:rsidTr="00603146">
        <w:tc>
          <w:tcPr>
            <w:tcW w:w="1345" w:type="dxa"/>
            <w:vMerge/>
          </w:tcPr>
          <w:p w:rsidR="004831F8" w:rsidRPr="00A731E8" w:rsidRDefault="004831F8" w:rsidP="00603146">
            <w:pPr>
              <w:jc w:val="both"/>
              <w:rPr>
                <w:rFonts w:ascii="Times New Roman" w:hAnsi="Times New Roman"/>
                <w:sz w:val="26"/>
                <w:szCs w:val="26"/>
              </w:rPr>
            </w:pPr>
          </w:p>
        </w:tc>
        <w:tc>
          <w:tcPr>
            <w:tcW w:w="7463" w:type="dxa"/>
          </w:tcPr>
          <w:p w:rsidR="004831F8" w:rsidRPr="00A731E8" w:rsidRDefault="004831F8" w:rsidP="00603146">
            <w:pPr>
              <w:jc w:val="both"/>
              <w:rPr>
                <w:rFonts w:ascii="Times New Roman" w:hAnsi="Times New Roman"/>
                <w:sz w:val="26"/>
                <w:szCs w:val="26"/>
              </w:rPr>
            </w:pPr>
            <w:r w:rsidRPr="00A731E8">
              <w:rPr>
                <w:rFonts w:ascii="Times New Roman" w:hAnsi="Times New Roman"/>
                <w:sz w:val="26"/>
                <w:szCs w:val="26"/>
              </w:rPr>
              <w:t>Thông tin về việc ngừng sử dụng thuốc có thể  thiếu hoặc không rõ ràng.</w:t>
            </w:r>
          </w:p>
        </w:tc>
      </w:tr>
      <w:tr w:rsidR="004831F8" w:rsidRPr="00A731E8" w:rsidTr="00603146">
        <w:tc>
          <w:tcPr>
            <w:tcW w:w="1345" w:type="dxa"/>
            <w:vMerge w:val="restart"/>
          </w:tcPr>
          <w:p w:rsidR="004831F8" w:rsidRPr="00A731E8" w:rsidRDefault="004831F8" w:rsidP="00603146">
            <w:pPr>
              <w:jc w:val="center"/>
              <w:rPr>
                <w:rFonts w:ascii="Times New Roman" w:hAnsi="Times New Roman"/>
                <w:sz w:val="26"/>
                <w:szCs w:val="26"/>
              </w:rPr>
            </w:pPr>
          </w:p>
          <w:p w:rsidR="004831F8" w:rsidRPr="00A731E8" w:rsidRDefault="004831F8" w:rsidP="00603146">
            <w:pPr>
              <w:jc w:val="center"/>
              <w:rPr>
                <w:rFonts w:ascii="Times New Roman" w:hAnsi="Times New Roman"/>
                <w:sz w:val="26"/>
                <w:szCs w:val="26"/>
              </w:rPr>
            </w:pPr>
            <w:r w:rsidRPr="00A731E8">
              <w:rPr>
                <w:rFonts w:ascii="Times New Roman" w:hAnsi="Times New Roman"/>
                <w:sz w:val="26"/>
                <w:szCs w:val="26"/>
              </w:rPr>
              <w:t>Không chắc chắn</w:t>
            </w:r>
          </w:p>
        </w:tc>
        <w:tc>
          <w:tcPr>
            <w:tcW w:w="7463" w:type="dxa"/>
          </w:tcPr>
          <w:p w:rsidR="004831F8" w:rsidRPr="00A731E8" w:rsidRDefault="004831F8" w:rsidP="00603146">
            <w:pPr>
              <w:jc w:val="both"/>
              <w:rPr>
                <w:rFonts w:ascii="Times New Roman" w:hAnsi="Times New Roman"/>
                <w:sz w:val="26"/>
                <w:szCs w:val="26"/>
              </w:rPr>
            </w:pPr>
            <w:r w:rsidRPr="00A731E8">
              <w:rPr>
                <w:rFonts w:ascii="Times New Roman" w:hAnsi="Times New Roman"/>
                <w:sz w:val="26"/>
                <w:szCs w:val="26"/>
              </w:rPr>
              <w:t>Phản ứng được mô tả có mối liên hệ không rõ ràng với thời gian sử dụng thuốc (nguyên nhân do thuốc nghi ngờ là không chắc chắn)</w:t>
            </w:r>
          </w:p>
        </w:tc>
      </w:tr>
      <w:tr w:rsidR="004831F8" w:rsidRPr="00A731E8" w:rsidTr="00603146">
        <w:tc>
          <w:tcPr>
            <w:tcW w:w="1345" w:type="dxa"/>
            <w:vMerge/>
          </w:tcPr>
          <w:p w:rsidR="004831F8" w:rsidRPr="00A731E8" w:rsidRDefault="004831F8" w:rsidP="00603146">
            <w:pPr>
              <w:jc w:val="both"/>
              <w:rPr>
                <w:rFonts w:ascii="Times New Roman" w:hAnsi="Times New Roman"/>
                <w:sz w:val="26"/>
                <w:szCs w:val="26"/>
              </w:rPr>
            </w:pPr>
          </w:p>
        </w:tc>
        <w:tc>
          <w:tcPr>
            <w:tcW w:w="7463" w:type="dxa"/>
          </w:tcPr>
          <w:p w:rsidR="004831F8" w:rsidRPr="00A731E8" w:rsidRDefault="004831F8" w:rsidP="00603146">
            <w:pPr>
              <w:jc w:val="both"/>
              <w:rPr>
                <w:rFonts w:ascii="Times New Roman" w:hAnsi="Times New Roman"/>
                <w:sz w:val="26"/>
                <w:szCs w:val="26"/>
              </w:rPr>
            </w:pPr>
            <w:r w:rsidRPr="00A731E8">
              <w:rPr>
                <w:rFonts w:ascii="Times New Roman" w:hAnsi="Times New Roman"/>
                <w:sz w:val="26"/>
                <w:szCs w:val="26"/>
              </w:rPr>
              <w:t>Có thể giải thích nguyên nhân xảy ra phản ứng bằng tình trạng bệnh lý của người bệnh hoặc các thuốc sử dụng đồng thời,</w:t>
            </w:r>
          </w:p>
        </w:tc>
      </w:tr>
      <w:tr w:rsidR="004831F8" w:rsidRPr="00A731E8" w:rsidTr="00603146">
        <w:tc>
          <w:tcPr>
            <w:tcW w:w="1345" w:type="dxa"/>
          </w:tcPr>
          <w:p w:rsidR="004831F8" w:rsidRPr="00A731E8" w:rsidRDefault="004831F8" w:rsidP="00603146">
            <w:pPr>
              <w:jc w:val="center"/>
              <w:rPr>
                <w:rFonts w:ascii="Times New Roman" w:hAnsi="Times New Roman"/>
                <w:sz w:val="26"/>
                <w:szCs w:val="26"/>
              </w:rPr>
            </w:pPr>
            <w:r w:rsidRPr="00A731E8">
              <w:rPr>
                <w:rFonts w:ascii="Times New Roman" w:hAnsi="Times New Roman"/>
                <w:sz w:val="26"/>
                <w:szCs w:val="26"/>
              </w:rPr>
              <w:lastRenderedPageBreak/>
              <w:t>Chưa phân loại</w:t>
            </w:r>
          </w:p>
        </w:tc>
        <w:tc>
          <w:tcPr>
            <w:tcW w:w="7463" w:type="dxa"/>
          </w:tcPr>
          <w:p w:rsidR="004831F8" w:rsidRPr="00A731E8" w:rsidRDefault="004831F8" w:rsidP="00603146">
            <w:pPr>
              <w:jc w:val="both"/>
              <w:rPr>
                <w:rFonts w:ascii="Times New Roman" w:hAnsi="Times New Roman"/>
                <w:sz w:val="26"/>
                <w:szCs w:val="26"/>
              </w:rPr>
            </w:pPr>
            <w:r w:rsidRPr="00A731E8">
              <w:rPr>
                <w:rFonts w:ascii="Times New Roman" w:hAnsi="Times New Roman"/>
                <w:sz w:val="26"/>
                <w:szCs w:val="26"/>
              </w:rPr>
              <w:t>Phản ứng bất thường đã xảy ra, nhưng cần thêm thông tin để đánh giá, hoặc những dữ liệu bổ sung đang được đánh giá</w:t>
            </w:r>
          </w:p>
        </w:tc>
      </w:tr>
      <w:tr w:rsidR="004831F8" w:rsidRPr="00A731E8" w:rsidTr="00603146">
        <w:tc>
          <w:tcPr>
            <w:tcW w:w="1345" w:type="dxa"/>
          </w:tcPr>
          <w:p w:rsidR="004831F8" w:rsidRPr="00A731E8" w:rsidRDefault="004831F8" w:rsidP="00603146">
            <w:pPr>
              <w:jc w:val="center"/>
              <w:rPr>
                <w:rFonts w:ascii="Times New Roman" w:hAnsi="Times New Roman"/>
                <w:sz w:val="26"/>
                <w:szCs w:val="26"/>
              </w:rPr>
            </w:pPr>
            <w:r w:rsidRPr="00A731E8">
              <w:rPr>
                <w:rFonts w:ascii="Times New Roman" w:hAnsi="Times New Roman"/>
                <w:sz w:val="26"/>
                <w:szCs w:val="26"/>
              </w:rPr>
              <w:t>Không thể phân loại</w:t>
            </w:r>
          </w:p>
        </w:tc>
        <w:tc>
          <w:tcPr>
            <w:tcW w:w="7463" w:type="dxa"/>
          </w:tcPr>
          <w:p w:rsidR="004831F8" w:rsidRPr="00A731E8" w:rsidRDefault="004831F8" w:rsidP="00603146">
            <w:pPr>
              <w:jc w:val="both"/>
              <w:rPr>
                <w:rFonts w:ascii="Times New Roman" w:hAnsi="Times New Roman"/>
                <w:sz w:val="26"/>
                <w:szCs w:val="26"/>
              </w:rPr>
            </w:pPr>
            <w:r w:rsidRPr="00A731E8">
              <w:rPr>
                <w:rFonts w:ascii="Times New Roman" w:hAnsi="Times New Roman"/>
                <w:sz w:val="26"/>
                <w:szCs w:val="26"/>
              </w:rPr>
              <w:t>Báo cáo đưa ra một phản ứng nghi ngờ là phản ứng có hại của thuốc, nhưng không thể đánh giá vì thông tin không đầy đủ hoặc không thống nhất, không thể thu thập thêm thông tin bổ sung hoặc xác thực lại dữ liệu.</w:t>
            </w:r>
          </w:p>
        </w:tc>
      </w:tr>
    </w:tbl>
    <w:p w:rsidR="00343085" w:rsidRDefault="00343085"/>
    <w:sectPr w:rsidR="0034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F8"/>
    <w:rsid w:val="00343085"/>
    <w:rsid w:val="004831F8"/>
    <w:rsid w:val="004940DB"/>
    <w:rsid w:val="00C1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696AD-1367-4832-A7D6-D8F7658F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1F8"/>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2019-01-18T06:31:00Z</dcterms:created>
  <dcterms:modified xsi:type="dcterms:W3CDTF">2019-01-18T06:32:00Z</dcterms:modified>
</cp:coreProperties>
</file>