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D3EC" w14:textId="38C1419A" w:rsidR="00873EC4" w:rsidRPr="00BD538C" w:rsidRDefault="00873EC4" w:rsidP="002C37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38C">
        <w:rPr>
          <w:rFonts w:ascii="Times New Roman" w:hAnsi="Times New Roman" w:cs="Times New Roman"/>
          <w:b/>
          <w:sz w:val="36"/>
          <w:szCs w:val="36"/>
        </w:rPr>
        <w:t xml:space="preserve">TỔNG QUAN VỀ HỆ TỰ NHŨ </w:t>
      </w:r>
    </w:p>
    <w:p w14:paraId="4D4DDD64" w14:textId="77777777" w:rsidR="00873EC4" w:rsidRPr="00BD538C" w:rsidRDefault="00873EC4" w:rsidP="00D511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nhũ</w:t>
      </w:r>
      <w:proofErr w:type="spellEnd"/>
    </w:p>
    <w:p w14:paraId="3F3335DF" w14:textId="77777777" w:rsidR="00873EC4" w:rsidRPr="00BD538C" w:rsidRDefault="004C0C94" w:rsidP="00D511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Pha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dầu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>:</w:t>
      </w:r>
    </w:p>
    <w:p w14:paraId="2AA67F1C" w14:textId="77777777" w:rsidR="004C0C94" w:rsidRPr="00BD538C" w:rsidRDefault="004C0C94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dầ</w:t>
      </w:r>
      <w:r w:rsidR="003C7D51" w:rsidRPr="00BD538C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triglyceride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(MCT)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bão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r w:rsidR="0001419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19B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proofErr w:type="gramEnd"/>
      <w:r w:rsidR="0001419B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kỵ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r w:rsidR="003C7D51" w:rsidRPr="00BD538C">
        <w:rPr>
          <w:rFonts w:ascii="Times New Roman" w:hAnsi="Times New Roman" w:cs="Times New Roman"/>
          <w:sz w:val="26"/>
          <w:szCs w:val="26"/>
        </w:rPr>
        <w:t xml:space="preserve">Triglyceride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lỏng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xuấ</w:t>
      </w:r>
      <w:r w:rsidR="001D1184" w:rsidRPr="00BD538C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1D1184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184" w:rsidRPr="00BD538C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3C7D5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D51" w:rsidRPr="00BD538C">
        <w:rPr>
          <w:rFonts w:ascii="Times New Roman" w:hAnsi="Times New Roman" w:cs="Times New Roman"/>
          <w:sz w:val="26"/>
          <w:szCs w:val="26"/>
        </w:rPr>
        <w:t>hợ</w:t>
      </w:r>
      <w:r w:rsidR="007D32EA" w:rsidRPr="00BD538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7D32EA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653A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3AF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E2D1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D18" w:rsidRPr="00BD538C">
        <w:rPr>
          <w:rFonts w:ascii="Times New Roman" w:hAnsi="Times New Roman" w:cs="Times New Roman"/>
          <w:sz w:val="26"/>
          <w:szCs w:val="26"/>
        </w:rPr>
        <w:t>thứ</w:t>
      </w:r>
      <w:r w:rsidR="002838A7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2838A7">
        <w:rPr>
          <w:rFonts w:ascii="Times New Roman" w:hAnsi="Times New Roman" w:cs="Times New Roman"/>
          <w:sz w:val="26"/>
          <w:szCs w:val="26"/>
        </w:rPr>
        <w:t>. [1]</w:t>
      </w:r>
    </w:p>
    <w:p w14:paraId="50671981" w14:textId="77777777" w:rsidR="0001419B" w:rsidRPr="00BD538C" w:rsidRDefault="006653AF" w:rsidP="00D511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Chấ</w:t>
      </w:r>
      <w:r w:rsidR="00F64FB6" w:rsidRPr="00BD538C">
        <w:rPr>
          <w:rFonts w:ascii="Times New Roman" w:hAnsi="Times New Roman" w:cs="Times New Roman"/>
          <w:b/>
          <w:sz w:val="26"/>
          <w:szCs w:val="26"/>
        </w:rPr>
        <w:t>t</w:t>
      </w:r>
      <w:proofErr w:type="spellEnd"/>
      <w:r w:rsidR="00F64FB6"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4FB6" w:rsidRPr="00BD538C">
        <w:rPr>
          <w:rFonts w:ascii="Times New Roman" w:hAnsi="Times New Roman" w:cs="Times New Roman"/>
          <w:b/>
          <w:sz w:val="26"/>
          <w:szCs w:val="26"/>
        </w:rPr>
        <w:t>diện</w:t>
      </w:r>
      <w:proofErr w:type="spellEnd"/>
      <w:r w:rsidR="00F64FB6"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4FB6" w:rsidRPr="00BD538C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="00F64FB6" w:rsidRPr="00BD538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E4A5CE1" w14:textId="77777777" w:rsidR="0001419B" w:rsidRPr="00BD538C" w:rsidRDefault="00F64FB6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khuyên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ion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bằ</w:t>
      </w:r>
      <w:r w:rsidR="006F0FB1" w:rsidRPr="00BD538C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r w:rsidR="003C2F4B" w:rsidRPr="00BD538C">
        <w:rPr>
          <w:rFonts w:ascii="Times New Roman" w:hAnsi="Times New Roman" w:cs="Times New Roman"/>
          <w:sz w:val="26"/>
          <w:szCs w:val="26"/>
        </w:rPr>
        <w:t xml:space="preserve">(HLB)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8B40C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0CF"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0FB1" w:rsidRPr="00BD538C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6F0FB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0FB1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chuộng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AB8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B33AB8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ion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i</w:t>
      </w:r>
      <w:r w:rsidR="000E7D0E" w:rsidRPr="00BD538C">
        <w:rPr>
          <w:rFonts w:ascii="Times New Roman" w:hAnsi="Times New Roman" w:cs="Times New Roman"/>
          <w:sz w:val="26"/>
          <w:szCs w:val="26"/>
        </w:rPr>
        <w:t xml:space="preserve">on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0E7D0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D0E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thấm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4F5" w:rsidRPr="00BD538C">
        <w:rPr>
          <w:rFonts w:ascii="Times New Roman" w:hAnsi="Times New Roman" w:cs="Times New Roman"/>
          <w:sz w:val="26"/>
          <w:szCs w:val="26"/>
        </w:rPr>
        <w:t>ruột</w:t>
      </w:r>
      <w:proofErr w:type="spellEnd"/>
      <w:r w:rsidR="000614F5" w:rsidRPr="00BD53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D9F69C" w14:textId="77777777" w:rsidR="0001419B" w:rsidRPr="00BD538C" w:rsidRDefault="000E7D0E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ion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(HLB)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ethoxylated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polyglycolyzed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glycerides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Tween 80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lỏng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rắn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60% kl/kl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ruộ</w:t>
      </w:r>
      <w:r w:rsidR="0001419B" w:rsidRPr="00BD538C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01419B" w:rsidRPr="00BD538C">
        <w:rPr>
          <w:rFonts w:ascii="Times New Roman" w:hAnsi="Times New Roman" w:cs="Times New Roman"/>
          <w:sz w:val="26"/>
          <w:szCs w:val="26"/>
        </w:rPr>
        <w:t xml:space="preserve">. </w:t>
      </w:r>
      <w:r w:rsidR="00A64E77" w:rsidRPr="00BD538C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khía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cẩn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r w:rsidR="005D0F26" w:rsidRPr="00BD538C">
        <w:rPr>
          <w:rFonts w:ascii="Times New Roman" w:hAnsi="Times New Roman" w:cs="Times New Roman"/>
          <w:sz w:val="26"/>
          <w:szCs w:val="26"/>
        </w:rPr>
        <w:t xml:space="preserve">HLB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64E77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D/N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khuếch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suấ</w:t>
      </w:r>
      <w:r w:rsidR="005D0F26" w:rsidRPr="00BD538C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A64E7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E77" w:rsidRPr="00BD538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F26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5D0F2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lưỡng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thậm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kỵ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tủa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ruột</w:t>
      </w:r>
      <w:proofErr w:type="spellEnd"/>
      <w:r w:rsidR="00227E0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7E07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27E0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kéo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227E0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7E07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34CD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CD2" w:rsidRPr="00BD538C">
        <w:rPr>
          <w:rFonts w:ascii="Times New Roman" w:hAnsi="Times New Roman" w:cs="Times New Roman"/>
          <w:sz w:val="26"/>
          <w:szCs w:val="26"/>
        </w:rPr>
        <w:lastRenderedPageBreak/>
        <w:t>tồn</w:t>
      </w:r>
      <w:proofErr w:type="spellEnd"/>
      <w:r w:rsidR="00227E0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7E07" w:rsidRPr="00BD538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tan,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D1F35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F35" w:rsidRPr="00BD538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227E07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tủa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ruột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kéo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tan,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732E4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E4D" w:rsidRPr="00BD538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D69477" w14:textId="77777777" w:rsidR="000E7D0E" w:rsidRPr="00BD538C" w:rsidRDefault="00491862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D355F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55F" w:rsidRPr="00BD538C">
        <w:rPr>
          <w:rFonts w:ascii="Times New Roman" w:hAnsi="Times New Roman" w:cs="Times New Roman"/>
          <w:sz w:val="26"/>
          <w:szCs w:val="26"/>
        </w:rPr>
        <w:t>dụ</w:t>
      </w:r>
      <w:r w:rsidRPr="00BD538C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dầ</w:t>
      </w:r>
      <w:r w:rsidR="00CF1E1D" w:rsidRPr="00BD538C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F35A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5A6" w:rsidRPr="00BD538C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7F35A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5A6" w:rsidRPr="00BD538C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="007F35A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5A6" w:rsidRPr="00BD538C">
        <w:rPr>
          <w:rFonts w:ascii="Times New Roman" w:hAnsi="Times New Roman" w:cs="Times New Roman"/>
          <w:sz w:val="26"/>
          <w:szCs w:val="26"/>
        </w:rPr>
        <w:t>các</w:t>
      </w:r>
      <w:r w:rsidR="00CF1E1D" w:rsidRPr="00BD538C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="007F35A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5A6" w:rsidRPr="00BD538C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7F35A6" w:rsidRPr="00BD538C">
        <w:rPr>
          <w:rFonts w:ascii="Times New Roman" w:hAnsi="Times New Roman" w:cs="Times New Roman"/>
          <w:sz w:val="26"/>
          <w:szCs w:val="26"/>
        </w:rPr>
        <w:t xml:space="preserve"> -</w:t>
      </w:r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1E1D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CF1E1D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thâm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96D"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98296D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thấm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ruột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FEC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65FEC" w:rsidRPr="00BD538C">
        <w:rPr>
          <w:rFonts w:ascii="Times New Roman" w:hAnsi="Times New Roman" w:cs="Times New Roman"/>
          <w:sz w:val="26"/>
          <w:szCs w:val="26"/>
        </w:rPr>
        <w:t xml:space="preserve"> p-glycoprotein</w:t>
      </w:r>
      <w:r w:rsidR="00C1356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3561" w:rsidRPr="00BD538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C1356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3561" w:rsidRPr="00BD538C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C13561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3561" w:rsidRPr="00BD538C">
        <w:rPr>
          <w:rFonts w:ascii="Times New Roman" w:hAnsi="Times New Roman" w:cs="Times New Roman"/>
          <w:sz w:val="26"/>
          <w:szCs w:val="26"/>
        </w:rPr>
        <w:t>thuố</w:t>
      </w:r>
      <w:r w:rsidR="002838A7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2838A7">
        <w:rPr>
          <w:rFonts w:ascii="Times New Roman" w:hAnsi="Times New Roman" w:cs="Times New Roman"/>
          <w:sz w:val="26"/>
          <w:szCs w:val="26"/>
        </w:rPr>
        <w:t>. [2]</w:t>
      </w:r>
    </w:p>
    <w:p w14:paraId="040A7240" w14:textId="77777777" w:rsidR="0001419B" w:rsidRPr="00BD538C" w:rsidRDefault="00C13561" w:rsidP="00D511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FCDACA3" w14:textId="77777777" w:rsidR="0001419B" w:rsidRPr="00BD538C" w:rsidRDefault="00477421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SEDDS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đòi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căng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01419B" w:rsidRPr="00BD53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64A336" w14:textId="77777777" w:rsidR="0001419B" w:rsidRPr="00BD538C" w:rsidRDefault="00AD21B0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thâm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màng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E3373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73E" w:rsidRPr="00BD538C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BE3BA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3BAE" w:rsidRPr="00BD538C">
        <w:rPr>
          <w:rFonts w:ascii="Times New Roman" w:hAnsi="Times New Roman" w:cs="Times New Roman"/>
          <w:sz w:val="26"/>
          <w:szCs w:val="26"/>
        </w:rPr>
        <w:t>tủ</w:t>
      </w:r>
      <w:r w:rsidR="00ED3EE0" w:rsidRPr="00BD538C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ED3EE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EE0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D3EE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EE0" w:rsidRPr="00BD538C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="00ED3EE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EE0" w:rsidRPr="00BD538C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="00ED3EE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EE0"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ED3EE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EE0" w:rsidRPr="00BD538C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="00ED3EE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EE0" w:rsidRPr="00BD538C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ED3EE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3EE0"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ED3EE0" w:rsidRPr="00BD53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FD618B9" w14:textId="77777777" w:rsidR="0001419B" w:rsidRPr="00BD538C" w:rsidRDefault="008614AC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SEDDS,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HLB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10-14</w:t>
      </w:r>
      <w:r w:rsidR="003159DD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alcohols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chuỗi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hexanol, pentanol, octanol,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3159D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59DD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01419B" w:rsidRPr="00BD53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7F3D55" w14:textId="77777777" w:rsidR="00F64FB6" w:rsidRPr="00BD538C" w:rsidRDefault="002D108F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ethanol, propylene glycol, polyethylene glycol,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2155" w:rsidRPr="00BD538C">
        <w:rPr>
          <w:rFonts w:ascii="Times New Roman" w:hAnsi="Times New Roman" w:cs="Times New Roman"/>
          <w:sz w:val="26"/>
          <w:szCs w:val="26"/>
        </w:rPr>
        <w:t>dù</w:t>
      </w:r>
      <w:r w:rsidRPr="00BD538C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877D07">
        <w:rPr>
          <w:rFonts w:ascii="Times New Roman" w:hAnsi="Times New Roman" w:cs="Times New Roman"/>
          <w:sz w:val="26"/>
          <w:szCs w:val="26"/>
        </w:rPr>
        <w:t xml:space="preserve">. [2] </w:t>
      </w:r>
    </w:p>
    <w:p w14:paraId="7360D4B2" w14:textId="77777777" w:rsidR="00FE5B6F" w:rsidRPr="00877D07" w:rsidRDefault="00FE5B6F" w:rsidP="00D511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thống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b/>
          <w:sz w:val="26"/>
          <w:szCs w:val="26"/>
        </w:rPr>
        <w:t xml:space="preserve"> lipid: </w:t>
      </w:r>
      <w:r w:rsidR="00877D07" w:rsidRPr="00877D07">
        <w:rPr>
          <w:rFonts w:ascii="Times New Roman" w:hAnsi="Times New Roman" w:cs="Times New Roman"/>
          <w:sz w:val="26"/>
          <w:szCs w:val="26"/>
        </w:rPr>
        <w:t>[3]</w:t>
      </w:r>
    </w:p>
    <w:p w14:paraId="64CCA361" w14:textId="77777777" w:rsidR="00FE5B6F" w:rsidRPr="00BD538C" w:rsidRDefault="00FE5B6F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lastRenderedPageBreak/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 bao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khô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tá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</w:t>
      </w:r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>,</w:t>
      </w:r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 (LFCS).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invivo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lặp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lặp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AFE" w:rsidRPr="00BD538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C50AFE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72DC" w:rsidRPr="00BD538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3072DC" w:rsidRPr="00BD53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A49DAD" w14:textId="77777777" w:rsidR="003072DC" w:rsidRPr="00BD538C" w:rsidRDefault="003072DC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538C">
        <w:rPr>
          <w:rFonts w:ascii="Times New Roman" w:hAnsi="Times New Roman" w:cs="Times New Roman"/>
          <w:sz w:val="26"/>
          <w:szCs w:val="26"/>
        </w:rPr>
        <w:t xml:space="preserve">LFCS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Pouton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2000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LFCS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tủa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1.1</w:t>
      </w:r>
    </w:p>
    <w:p w14:paraId="5B41BCBA" w14:textId="77777777" w:rsidR="003072DC" w:rsidRPr="00BD538C" w:rsidRDefault="003072DC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1.1.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lipid: </w:t>
      </w:r>
    </w:p>
    <w:p w14:paraId="03F22555" w14:textId="77777777" w:rsidR="00E92FEB" w:rsidRPr="00BD538C" w:rsidRDefault="00E92FEB" w:rsidP="00D511B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D53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00DF" wp14:editId="3B182B9A">
                <wp:simplePos x="0" y="0"/>
                <wp:positionH relativeFrom="column">
                  <wp:posOffset>233265</wp:posOffset>
                </wp:positionH>
                <wp:positionV relativeFrom="paragraph">
                  <wp:posOffset>3409548</wp:posOffset>
                </wp:positionV>
                <wp:extent cx="5868955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268.45pt" to="480.4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" strokecolor="black [3213]"/>
            </w:pict>
          </mc:Fallback>
        </mc:AlternateContent>
      </w:r>
      <w:r w:rsidRPr="00BD538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4D7C74" wp14:editId="1CAC28E3">
            <wp:extent cx="5868955" cy="340567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429" cy="34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EE7B8" w14:textId="77777777" w:rsidR="004825FD" w:rsidRPr="00BD538C" w:rsidRDefault="00E92FEB" w:rsidP="00D511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I (Type I): </w:t>
      </w:r>
      <w:proofErr w:type="spellStart"/>
      <w:r w:rsidR="00682F30" w:rsidRPr="00BD538C">
        <w:rPr>
          <w:rFonts w:ascii="Times New Roman" w:hAnsi="Times New Roman" w:cs="Times New Roman"/>
          <w:sz w:val="26"/>
          <w:szCs w:val="26"/>
        </w:rPr>
        <w:t>H</w:t>
      </w:r>
      <w:r w:rsidRPr="00BD538C">
        <w:rPr>
          <w:rFonts w:ascii="Times New Roman" w:hAnsi="Times New Roman" w:cs="Times New Roman"/>
          <w:sz w:val="26"/>
          <w:szCs w:val="26"/>
        </w:rPr>
        <w:t>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triglyceride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82F3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F30" w:rsidRPr="00BD538C">
        <w:rPr>
          <w:rFonts w:ascii="Times New Roman" w:hAnsi="Times New Roman" w:cs="Times New Roman"/>
          <w:sz w:val="26"/>
          <w:szCs w:val="26"/>
        </w:rPr>
        <w:t>hỗn</w:t>
      </w:r>
      <w:proofErr w:type="spellEnd"/>
      <w:r w:rsidR="00682F3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F30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glyceride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hoặ</w:t>
      </w:r>
      <w:r w:rsidR="00682F30" w:rsidRPr="00BD538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682F3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F30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82F3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F30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682F3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F30"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682F30" w:rsidRPr="00BD538C">
        <w:rPr>
          <w:rFonts w:ascii="Times New Roman" w:hAnsi="Times New Roman" w:cs="Times New Roman"/>
          <w:sz w:val="26"/>
          <w:szCs w:val="26"/>
        </w:rPr>
        <w:t xml:space="preserve"> D/N</w:t>
      </w:r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1% (w / v) polysorbate 60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1,2% (w / v) </w:t>
      </w:r>
      <w:proofErr w:type="gramStart"/>
      <w:r w:rsidRPr="00BD538C">
        <w:rPr>
          <w:rFonts w:ascii="Times New Roman" w:hAnsi="Times New Roman" w:cs="Times New Roman"/>
          <w:sz w:val="26"/>
          <w:szCs w:val="26"/>
        </w:rPr>
        <w:t>lecithin .</w:t>
      </w:r>
      <w:proofErr w:type="gram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82F30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F30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lipase / colipase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tụy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nướ</w:t>
      </w:r>
      <w:r w:rsidR="00682F30" w:rsidRPr="00BD538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682F30" w:rsidRPr="00BD538C">
        <w:rPr>
          <w:rFonts w:ascii="Times New Roman" w:hAnsi="Times New Roman" w:cs="Times New Roman"/>
          <w:sz w:val="26"/>
          <w:szCs w:val="26"/>
        </w:rPr>
        <w:t xml:space="preserve">. </w:t>
      </w:r>
      <w:r w:rsidR="00C36D16" w:rsidRPr="00BD538C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lastRenderedPageBreak/>
        <w:t>các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lipophilic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36D16" w:rsidRPr="00BD538C">
        <w:rPr>
          <w:rFonts w:ascii="Times New Roman" w:hAnsi="Times New Roman" w:cs="Times New Roman"/>
          <w:sz w:val="26"/>
          <w:szCs w:val="26"/>
        </w:rPr>
        <w:t>liều</w:t>
      </w:r>
      <w:proofErr w:type="spellEnd"/>
      <w:r w:rsidR="00C36D16" w:rsidRPr="00BD538C">
        <w:rPr>
          <w:rFonts w:ascii="Times New Roman" w:hAnsi="Times New Roman" w:cs="Times New Roman"/>
          <w:sz w:val="26"/>
          <w:szCs w:val="26"/>
        </w:rPr>
        <w:t>).</w:t>
      </w:r>
      <w:r w:rsidR="007E6F29" w:rsidRPr="00BD538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lipophilic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25FD" w:rsidRPr="00BD538C">
        <w:rPr>
          <w:rFonts w:ascii="Times New Roman" w:hAnsi="Times New Roman" w:cs="Times New Roman"/>
          <w:sz w:val="26"/>
          <w:szCs w:val="26"/>
        </w:rPr>
        <w:t>liều</w:t>
      </w:r>
      <w:proofErr w:type="spellEnd"/>
      <w:r w:rsidR="004825FD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7E6F29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6F29" w:rsidRPr="00BD538C">
        <w:rPr>
          <w:rFonts w:ascii="Times New Roman" w:hAnsi="Times New Roman" w:cs="Times New Roman"/>
          <w:sz w:val="26"/>
          <w:szCs w:val="26"/>
        </w:rPr>
        <w:t>thiế</w:t>
      </w:r>
      <w:r w:rsidR="004825FD" w:rsidRPr="00BD538C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4825FD" w:rsidRPr="00BD53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5C86BD" w14:textId="77777777" w:rsidR="00E92FEB" w:rsidRPr="00BD538C" w:rsidRDefault="009E59CA" w:rsidP="00D511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II (Type II):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25%.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, ở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50 - 60%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gián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gel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lỏng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nhớt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D/N.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II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bào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rắn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giọt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pha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="00B61E1A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E1A" w:rsidRPr="00BD538C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="00C4000A" w:rsidRPr="00BD53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A9D51A" w14:textId="77777777" w:rsidR="009B4997" w:rsidRPr="00BD538C" w:rsidRDefault="00C4000A" w:rsidP="00D511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III (Type III):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nhũ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(SMEDDS),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(HLB&gt; 12)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ethanol, propylene glycol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997" w:rsidRPr="00BD538C">
        <w:rPr>
          <w:rFonts w:ascii="Times New Roman" w:hAnsi="Times New Roman" w:cs="Times New Roman"/>
          <w:sz w:val="26"/>
          <w:szCs w:val="26"/>
        </w:rPr>
        <w:t>polyethylen</w:t>
      </w:r>
      <w:proofErr w:type="spellEnd"/>
      <w:r w:rsidR="009B4997" w:rsidRPr="00BD538C">
        <w:rPr>
          <w:rFonts w:ascii="Times New Roman" w:hAnsi="Times New Roman" w:cs="Times New Roman"/>
          <w:sz w:val="26"/>
          <w:szCs w:val="26"/>
        </w:rPr>
        <w:t xml:space="preserve"> glycol.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III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IIIA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IIIB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IIIB)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="00744DFB" w:rsidRPr="00BD538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744DFB" w:rsidRPr="00BD538C">
        <w:rPr>
          <w:rFonts w:ascii="Times New Roman" w:hAnsi="Times New Roman" w:cs="Times New Roman"/>
          <w:sz w:val="26"/>
          <w:szCs w:val="26"/>
        </w:rPr>
        <w:t>.</w:t>
      </w:r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IIIB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IIIA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tủa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2FB" w:rsidRPr="00BD538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4212FB" w:rsidRPr="00BD538C">
        <w:rPr>
          <w:rFonts w:ascii="Times New Roman" w:hAnsi="Times New Roman" w:cs="Times New Roman"/>
          <w:sz w:val="26"/>
          <w:szCs w:val="26"/>
        </w:rPr>
        <w:t>.</w:t>
      </w:r>
    </w:p>
    <w:p w14:paraId="7A613B7B" w14:textId="77777777" w:rsidR="00744DFB" w:rsidRPr="00BD538C" w:rsidRDefault="00C25D02" w:rsidP="00D511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IV (Type IV):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xu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IV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lipid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lipit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glyceride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In vivo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qua GIT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II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III).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IV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nang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ức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protease </w:t>
      </w:r>
      <w:proofErr w:type="gramStart"/>
      <w:r w:rsidR="00E72372" w:rsidRPr="00BD538C">
        <w:rPr>
          <w:rFonts w:ascii="Times New Roman" w:hAnsi="Times New Roman" w:cs="Times New Roman"/>
          <w:sz w:val="26"/>
          <w:szCs w:val="26"/>
        </w:rPr>
        <w:t>HIV  -</w:t>
      </w:r>
      <w:proofErr w:type="gram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amprenavir (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Agenerase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TPGS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PEG 400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propylene glycol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72372" w:rsidRPr="00BD538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E72372" w:rsidRPr="00BD538C">
        <w:rPr>
          <w:rFonts w:ascii="Times New Roman" w:hAnsi="Times New Roman" w:cs="Times New Roman"/>
          <w:sz w:val="26"/>
          <w:szCs w:val="26"/>
        </w:rPr>
        <w:t>.</w:t>
      </w:r>
      <w:r w:rsidR="00877D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5E14CE" w14:textId="77777777" w:rsidR="002838A7" w:rsidRPr="002D3116" w:rsidRDefault="002838A7">
      <w:pPr>
        <w:rPr>
          <w:rFonts w:ascii="Times New Roman" w:hAnsi="Times New Roman" w:cs="Times New Roman"/>
          <w:b/>
          <w:sz w:val="26"/>
          <w:szCs w:val="26"/>
        </w:rPr>
      </w:pPr>
      <w:r w:rsidRPr="002D3116">
        <w:rPr>
          <w:rFonts w:ascii="Times New Roman" w:hAnsi="Times New Roman" w:cs="Times New Roman"/>
          <w:b/>
          <w:sz w:val="26"/>
          <w:szCs w:val="26"/>
        </w:rPr>
        <w:t>TÀI LIỆU THAM KHẢO:</w:t>
      </w:r>
    </w:p>
    <w:p w14:paraId="09510F56" w14:textId="77777777" w:rsidR="002838A7" w:rsidRPr="00877D07" w:rsidRDefault="002838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[1] </w:t>
      </w:r>
      <w:proofErr w:type="spellStart"/>
      <w:r w:rsidR="00877D07" w:rsidRPr="00877D07">
        <w:rPr>
          <w:rFonts w:ascii="Times New Roman" w:hAnsi="Times New Roman" w:cs="Times New Roman"/>
          <w:sz w:val="26"/>
          <w:szCs w:val="26"/>
        </w:rPr>
        <w:t>Naisarg</w:t>
      </w:r>
      <w:proofErr w:type="spellEnd"/>
      <w:r w:rsidR="00877D07" w:rsidRPr="00877D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D07" w:rsidRPr="00877D07">
        <w:rPr>
          <w:rFonts w:ascii="Times New Roman" w:hAnsi="Times New Roman" w:cs="Times New Roman"/>
          <w:sz w:val="26"/>
          <w:szCs w:val="26"/>
        </w:rPr>
        <w:t>Pujara</w:t>
      </w:r>
      <w:proofErr w:type="spellEnd"/>
      <w:r w:rsidR="00877D07" w:rsidRPr="00877D07">
        <w:rPr>
          <w:rFonts w:ascii="Times New Roman" w:hAnsi="Times New Roman" w:cs="Times New Roman"/>
          <w:sz w:val="26"/>
          <w:szCs w:val="26"/>
        </w:rPr>
        <w:t xml:space="preserve">, (2012), </w:t>
      </w:r>
      <w:r w:rsidR="00877D07" w:rsidRPr="00877D07">
        <w:rPr>
          <w:rFonts w:ascii="Times New Roman" w:hAnsi="Times New Roman" w:cs="Times New Roman"/>
          <w:i/>
          <w:sz w:val="26"/>
          <w:szCs w:val="26"/>
        </w:rPr>
        <w:t xml:space="preserve">Self-Emulsifying Drug Delivery </w:t>
      </w:r>
      <w:proofErr w:type="spellStart"/>
      <w:proofErr w:type="gramStart"/>
      <w:r w:rsidR="00877D07" w:rsidRPr="00877D07">
        <w:rPr>
          <w:rFonts w:ascii="Times New Roman" w:hAnsi="Times New Roman" w:cs="Times New Roman"/>
          <w:i/>
          <w:sz w:val="26"/>
          <w:szCs w:val="26"/>
        </w:rPr>
        <w:t>System</w:t>
      </w:r>
      <w:r w:rsidR="00877D07">
        <w:rPr>
          <w:rFonts w:ascii="Times New Roman" w:hAnsi="Times New Roman" w:cs="Times New Roman"/>
          <w:sz w:val="26"/>
          <w:szCs w:val="26"/>
        </w:rPr>
        <w:t>:</w:t>
      </w:r>
      <w:r w:rsidR="00877D07" w:rsidRPr="00877D07">
        <w:rPr>
          <w:rFonts w:ascii="Times New Roman" w:hAnsi="Times New Roman" w:cs="Times New Roman"/>
          <w:i/>
          <w:sz w:val="26"/>
          <w:szCs w:val="26"/>
        </w:rPr>
        <w:t>A</w:t>
      </w:r>
      <w:proofErr w:type="spellEnd"/>
      <w:proofErr w:type="gramEnd"/>
      <w:r w:rsidR="00877D07" w:rsidRPr="00877D07">
        <w:rPr>
          <w:rFonts w:ascii="Times New Roman" w:hAnsi="Times New Roman" w:cs="Times New Roman"/>
          <w:i/>
          <w:sz w:val="26"/>
          <w:szCs w:val="26"/>
        </w:rPr>
        <w:t xml:space="preserve"> Novel Approach</w:t>
      </w:r>
      <w:r w:rsidR="00877D07" w:rsidRPr="00877D07">
        <w:rPr>
          <w:rFonts w:ascii="Times New Roman" w:hAnsi="Times New Roman" w:cs="Times New Roman"/>
          <w:sz w:val="26"/>
          <w:szCs w:val="26"/>
        </w:rPr>
        <w:t>, The University of Queensland.</w:t>
      </w:r>
    </w:p>
    <w:p w14:paraId="05C60A52" w14:textId="77777777" w:rsidR="002838A7" w:rsidRDefault="002838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[2] </w:t>
      </w:r>
      <w:r w:rsidRPr="002838A7">
        <w:rPr>
          <w:rFonts w:ascii="Times New Roman" w:hAnsi="Times New Roman" w:cs="Times New Roman"/>
          <w:sz w:val="26"/>
          <w:szCs w:val="26"/>
        </w:rPr>
        <w:t xml:space="preserve">Vikas Sharma, Jatinder Singh, </w:t>
      </w:r>
      <w:proofErr w:type="spellStart"/>
      <w:r w:rsidRPr="002838A7">
        <w:rPr>
          <w:rFonts w:ascii="Times New Roman" w:hAnsi="Times New Roman" w:cs="Times New Roman"/>
          <w:sz w:val="26"/>
          <w:szCs w:val="26"/>
        </w:rPr>
        <w:t>Bhawandeep</w:t>
      </w:r>
      <w:proofErr w:type="spellEnd"/>
      <w:r w:rsidRPr="002838A7">
        <w:rPr>
          <w:rFonts w:ascii="Times New Roman" w:hAnsi="Times New Roman" w:cs="Times New Roman"/>
          <w:sz w:val="26"/>
          <w:szCs w:val="26"/>
        </w:rPr>
        <w:t xml:space="preserve"> Gill* and S.L. </w:t>
      </w:r>
      <w:proofErr w:type="spellStart"/>
      <w:r w:rsidRPr="002838A7">
        <w:rPr>
          <w:rFonts w:ascii="Times New Roman" w:hAnsi="Times New Roman" w:cs="Times New Roman"/>
          <w:sz w:val="26"/>
          <w:szCs w:val="26"/>
        </w:rPr>
        <w:t>Harikumar</w:t>
      </w:r>
      <w:proofErr w:type="spellEnd"/>
      <w:r w:rsidR="00877D07">
        <w:rPr>
          <w:rFonts w:ascii="Times New Roman" w:hAnsi="Times New Roman" w:cs="Times New Roman"/>
          <w:sz w:val="26"/>
          <w:szCs w:val="26"/>
        </w:rPr>
        <w:t>, (2012).</w:t>
      </w:r>
      <w:r w:rsidRPr="002838A7">
        <w:rPr>
          <w:rFonts w:ascii="Times New Roman" w:hAnsi="Times New Roman" w:cs="Times New Roman"/>
          <w:sz w:val="26"/>
          <w:szCs w:val="26"/>
        </w:rPr>
        <w:t xml:space="preserve"> </w:t>
      </w:r>
      <w:r w:rsidRPr="00877D07">
        <w:rPr>
          <w:rFonts w:ascii="Times New Roman" w:hAnsi="Times New Roman" w:cs="Times New Roman"/>
          <w:i/>
          <w:sz w:val="26"/>
          <w:szCs w:val="26"/>
        </w:rPr>
        <w:t>SMEDDS: A novel approach for lipophilic drugs</w:t>
      </w:r>
      <w:r w:rsidR="00877D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838A7">
        <w:rPr>
          <w:rFonts w:ascii="Times New Roman" w:hAnsi="Times New Roman" w:cs="Times New Roman"/>
          <w:sz w:val="26"/>
          <w:szCs w:val="26"/>
        </w:rPr>
        <w:t>Rayat</w:t>
      </w:r>
      <w:proofErr w:type="spellEnd"/>
      <w:r w:rsidRPr="002838A7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2838A7">
        <w:rPr>
          <w:rFonts w:ascii="Times New Roman" w:hAnsi="Times New Roman" w:cs="Times New Roman"/>
          <w:sz w:val="26"/>
          <w:szCs w:val="26"/>
        </w:rPr>
        <w:t>Bahra</w:t>
      </w:r>
      <w:proofErr w:type="spellEnd"/>
      <w:r w:rsidRPr="002838A7">
        <w:rPr>
          <w:rFonts w:ascii="Times New Roman" w:hAnsi="Times New Roman" w:cs="Times New Roman"/>
          <w:sz w:val="26"/>
          <w:szCs w:val="26"/>
        </w:rPr>
        <w:t xml:space="preserve"> Institute of Pharmacy, </w:t>
      </w:r>
      <w:proofErr w:type="spellStart"/>
      <w:r w:rsidRPr="002838A7">
        <w:rPr>
          <w:rFonts w:ascii="Times New Roman" w:hAnsi="Times New Roman" w:cs="Times New Roman"/>
          <w:sz w:val="26"/>
          <w:szCs w:val="26"/>
        </w:rPr>
        <w:t>Sahauran</w:t>
      </w:r>
      <w:proofErr w:type="spellEnd"/>
      <w:r w:rsidRPr="002838A7">
        <w:rPr>
          <w:rFonts w:ascii="Times New Roman" w:hAnsi="Times New Roman" w:cs="Times New Roman"/>
          <w:sz w:val="26"/>
          <w:szCs w:val="26"/>
        </w:rPr>
        <w:t xml:space="preserve">, Mohali- 140 103, Panjab, </w:t>
      </w:r>
      <w:proofErr w:type="gramStart"/>
      <w:r w:rsidRPr="002838A7">
        <w:rPr>
          <w:rFonts w:ascii="Times New Roman" w:hAnsi="Times New Roman" w:cs="Times New Roman"/>
          <w:sz w:val="26"/>
          <w:szCs w:val="26"/>
        </w:rPr>
        <w:t>India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7F1D979" w14:textId="256C3000" w:rsidR="00F31503" w:rsidRDefault="00877D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[3</w:t>
      </w:r>
      <w:r w:rsidR="002838A7">
        <w:rPr>
          <w:rFonts w:ascii="Times New Roman" w:hAnsi="Times New Roman" w:cs="Times New Roman"/>
          <w:sz w:val="26"/>
          <w:szCs w:val="26"/>
        </w:rPr>
        <w:t xml:space="preserve">] </w:t>
      </w:r>
      <w:r w:rsidRPr="00877D07">
        <w:rPr>
          <w:rFonts w:ascii="Times New Roman" w:hAnsi="Times New Roman" w:cs="Times New Roman"/>
          <w:sz w:val="26"/>
          <w:szCs w:val="26"/>
        </w:rPr>
        <w:t xml:space="preserve">Jill </w:t>
      </w:r>
      <w:proofErr w:type="spellStart"/>
      <w:r w:rsidRPr="00877D07">
        <w:rPr>
          <w:rFonts w:ascii="Times New Roman" w:hAnsi="Times New Roman" w:cs="Times New Roman"/>
          <w:sz w:val="26"/>
          <w:szCs w:val="26"/>
        </w:rPr>
        <w:t>Bhadreshkumar</w:t>
      </w:r>
      <w:proofErr w:type="spellEnd"/>
      <w:r w:rsidRPr="00877D07">
        <w:rPr>
          <w:rFonts w:ascii="Times New Roman" w:hAnsi="Times New Roman" w:cs="Times New Roman"/>
          <w:sz w:val="26"/>
          <w:szCs w:val="26"/>
        </w:rPr>
        <w:t xml:space="preserve"> Shukla, Girish K Jani, (2017), </w:t>
      </w:r>
      <w:r w:rsidRPr="00877D07">
        <w:rPr>
          <w:rFonts w:ascii="Times New Roman" w:hAnsi="Times New Roman" w:cs="Times New Roman"/>
          <w:i/>
          <w:sz w:val="26"/>
          <w:szCs w:val="26"/>
        </w:rPr>
        <w:t xml:space="preserve">formulation and evaluation of solid self </w:t>
      </w:r>
      <w:proofErr w:type="spellStart"/>
      <w:r w:rsidRPr="00877D07">
        <w:rPr>
          <w:rFonts w:ascii="Times New Roman" w:hAnsi="Times New Roman" w:cs="Times New Roman"/>
          <w:i/>
          <w:sz w:val="26"/>
          <w:szCs w:val="26"/>
        </w:rPr>
        <w:t>microemulsifying</w:t>
      </w:r>
      <w:proofErr w:type="spellEnd"/>
      <w:r w:rsidRPr="00877D07">
        <w:rPr>
          <w:rFonts w:ascii="Times New Roman" w:hAnsi="Times New Roman" w:cs="Times New Roman"/>
          <w:i/>
          <w:sz w:val="26"/>
          <w:szCs w:val="26"/>
        </w:rPr>
        <w:t xml:space="preserve"> drug delivery system.</w:t>
      </w:r>
      <w:r w:rsidRPr="00877D07">
        <w:rPr>
          <w:rFonts w:ascii="Times New Roman" w:hAnsi="Times New Roman" w:cs="Times New Roman"/>
          <w:sz w:val="26"/>
          <w:szCs w:val="26"/>
        </w:rPr>
        <w:t xml:space="preserve">  Gujarat Technological University, Ahmedabad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2C69C5" w14:textId="77777777" w:rsidR="00F31503" w:rsidRDefault="00F31503">
      <w:pPr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viết: Phạm Thị Ly</w:t>
      </w:r>
    </w:p>
    <w:p w14:paraId="5DFA5577" w14:textId="4797B58C" w:rsidR="002838A7" w:rsidRPr="00F31503" w:rsidRDefault="00F3150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F31503">
        <w:rPr>
          <w:rFonts w:ascii="Times New Roman" w:hAnsi="Times New Roman" w:cs="Times New Roman"/>
          <w:sz w:val="26"/>
          <w:szCs w:val="26"/>
          <w:lang w:val="vi-VN"/>
        </w:rPr>
        <w:t>Người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duyệt: Nguyễn Thị Thuỳ Trang</w:t>
      </w:r>
      <w:r w:rsidR="002838A7" w:rsidRPr="00F31503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p w14:paraId="22B8A35F" w14:textId="77777777" w:rsidR="00F31503" w:rsidRPr="00F31503" w:rsidRDefault="00F31503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7ADADD0" w14:textId="77777777" w:rsidR="00A821DE" w:rsidRPr="00F31503" w:rsidRDefault="00A821DE" w:rsidP="00BD538C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A821DE" w:rsidRPr="00F3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F072" w14:textId="77777777" w:rsidR="000F4181" w:rsidRDefault="000F4181" w:rsidP="003C0AFB">
      <w:pPr>
        <w:spacing w:after="0" w:line="240" w:lineRule="auto"/>
      </w:pPr>
      <w:r>
        <w:separator/>
      </w:r>
    </w:p>
  </w:endnote>
  <w:endnote w:type="continuationSeparator" w:id="0">
    <w:p w14:paraId="744A0D6D" w14:textId="77777777" w:rsidR="000F4181" w:rsidRDefault="000F4181" w:rsidP="003C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7017" w14:textId="77777777" w:rsidR="000F4181" w:rsidRDefault="000F4181" w:rsidP="003C0AFB">
      <w:pPr>
        <w:spacing w:after="0" w:line="240" w:lineRule="auto"/>
      </w:pPr>
      <w:r>
        <w:separator/>
      </w:r>
    </w:p>
  </w:footnote>
  <w:footnote w:type="continuationSeparator" w:id="0">
    <w:p w14:paraId="264ECB3A" w14:textId="77777777" w:rsidR="000F4181" w:rsidRDefault="000F4181" w:rsidP="003C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60"/>
    <w:multiLevelType w:val="hybridMultilevel"/>
    <w:tmpl w:val="27681AF6"/>
    <w:lvl w:ilvl="0" w:tplc="845649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FC6"/>
    <w:multiLevelType w:val="multilevel"/>
    <w:tmpl w:val="E0AA6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5B3272"/>
    <w:multiLevelType w:val="hybridMultilevel"/>
    <w:tmpl w:val="12800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830D0"/>
    <w:multiLevelType w:val="hybridMultilevel"/>
    <w:tmpl w:val="C346E7BE"/>
    <w:lvl w:ilvl="0" w:tplc="81B0D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113E6"/>
    <w:multiLevelType w:val="hybridMultilevel"/>
    <w:tmpl w:val="5C14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6740">
    <w:abstractNumId w:val="3"/>
  </w:num>
  <w:num w:numId="2" w16cid:durableId="128980175">
    <w:abstractNumId w:val="1"/>
  </w:num>
  <w:num w:numId="3" w16cid:durableId="865294304">
    <w:abstractNumId w:val="4"/>
  </w:num>
  <w:num w:numId="4" w16cid:durableId="2015381042">
    <w:abstractNumId w:val="2"/>
  </w:num>
  <w:num w:numId="5" w16cid:durableId="94989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94"/>
    <w:rsid w:val="0001419B"/>
    <w:rsid w:val="00015A4B"/>
    <w:rsid w:val="00040C71"/>
    <w:rsid w:val="000614F5"/>
    <w:rsid w:val="0006315B"/>
    <w:rsid w:val="00073472"/>
    <w:rsid w:val="000813F7"/>
    <w:rsid w:val="000C62A3"/>
    <w:rsid w:val="000D34CB"/>
    <w:rsid w:val="000E7D0E"/>
    <w:rsid w:val="000F3123"/>
    <w:rsid w:val="000F4181"/>
    <w:rsid w:val="0019613B"/>
    <w:rsid w:val="001A4305"/>
    <w:rsid w:val="001D1184"/>
    <w:rsid w:val="001E2D18"/>
    <w:rsid w:val="00227E07"/>
    <w:rsid w:val="0027075B"/>
    <w:rsid w:val="002838A7"/>
    <w:rsid w:val="002C3748"/>
    <w:rsid w:val="002C5143"/>
    <w:rsid w:val="002D108F"/>
    <w:rsid w:val="002D3116"/>
    <w:rsid w:val="002F0A78"/>
    <w:rsid w:val="00306B8B"/>
    <w:rsid w:val="003072DC"/>
    <w:rsid w:val="003159DD"/>
    <w:rsid w:val="00320948"/>
    <w:rsid w:val="0035239A"/>
    <w:rsid w:val="003811A5"/>
    <w:rsid w:val="00382665"/>
    <w:rsid w:val="00391C2A"/>
    <w:rsid w:val="003B0852"/>
    <w:rsid w:val="003C0AFB"/>
    <w:rsid w:val="003C2F4B"/>
    <w:rsid w:val="003C7D51"/>
    <w:rsid w:val="003D355F"/>
    <w:rsid w:val="003D5A45"/>
    <w:rsid w:val="003D7C0F"/>
    <w:rsid w:val="003E4F4A"/>
    <w:rsid w:val="0040074C"/>
    <w:rsid w:val="004212FB"/>
    <w:rsid w:val="00456287"/>
    <w:rsid w:val="00477421"/>
    <w:rsid w:val="004825FD"/>
    <w:rsid w:val="00484661"/>
    <w:rsid w:val="00491862"/>
    <w:rsid w:val="0049580D"/>
    <w:rsid w:val="004A0955"/>
    <w:rsid w:val="004C0C94"/>
    <w:rsid w:val="004E2129"/>
    <w:rsid w:val="004F4CAC"/>
    <w:rsid w:val="00501A06"/>
    <w:rsid w:val="005067C3"/>
    <w:rsid w:val="005551EC"/>
    <w:rsid w:val="005646A0"/>
    <w:rsid w:val="00596B1F"/>
    <w:rsid w:val="00597C8C"/>
    <w:rsid w:val="005A2E50"/>
    <w:rsid w:val="005A6837"/>
    <w:rsid w:val="005D0F26"/>
    <w:rsid w:val="005D1F35"/>
    <w:rsid w:val="005F6962"/>
    <w:rsid w:val="00607875"/>
    <w:rsid w:val="00635DE0"/>
    <w:rsid w:val="006565B4"/>
    <w:rsid w:val="006653AF"/>
    <w:rsid w:val="00665584"/>
    <w:rsid w:val="00680A32"/>
    <w:rsid w:val="00682F30"/>
    <w:rsid w:val="006C05D4"/>
    <w:rsid w:val="006D4F3C"/>
    <w:rsid w:val="006F0FB1"/>
    <w:rsid w:val="006F2155"/>
    <w:rsid w:val="00722BDA"/>
    <w:rsid w:val="00732E4D"/>
    <w:rsid w:val="00744DFB"/>
    <w:rsid w:val="00781E3D"/>
    <w:rsid w:val="007B0F91"/>
    <w:rsid w:val="007C36AA"/>
    <w:rsid w:val="007D32EA"/>
    <w:rsid w:val="007E1314"/>
    <w:rsid w:val="007E6F29"/>
    <w:rsid w:val="007F35A6"/>
    <w:rsid w:val="007F738D"/>
    <w:rsid w:val="00834CD2"/>
    <w:rsid w:val="00842B90"/>
    <w:rsid w:val="008614AC"/>
    <w:rsid w:val="00865FEC"/>
    <w:rsid w:val="00873EC4"/>
    <w:rsid w:val="00877D07"/>
    <w:rsid w:val="008B337F"/>
    <w:rsid w:val="008B40CF"/>
    <w:rsid w:val="008E3C25"/>
    <w:rsid w:val="0097745F"/>
    <w:rsid w:val="0098296D"/>
    <w:rsid w:val="009B4997"/>
    <w:rsid w:val="009D6766"/>
    <w:rsid w:val="009E59CA"/>
    <w:rsid w:val="009F2189"/>
    <w:rsid w:val="00A13C17"/>
    <w:rsid w:val="00A26768"/>
    <w:rsid w:val="00A603AB"/>
    <w:rsid w:val="00A64E77"/>
    <w:rsid w:val="00A821DE"/>
    <w:rsid w:val="00AD21B0"/>
    <w:rsid w:val="00AD289A"/>
    <w:rsid w:val="00B33AB8"/>
    <w:rsid w:val="00B61E1A"/>
    <w:rsid w:val="00B91801"/>
    <w:rsid w:val="00B94E11"/>
    <w:rsid w:val="00B968D1"/>
    <w:rsid w:val="00BD3DE2"/>
    <w:rsid w:val="00BD538C"/>
    <w:rsid w:val="00BE3BAE"/>
    <w:rsid w:val="00BE7701"/>
    <w:rsid w:val="00C13561"/>
    <w:rsid w:val="00C25D02"/>
    <w:rsid w:val="00C25ED9"/>
    <w:rsid w:val="00C36D16"/>
    <w:rsid w:val="00C37548"/>
    <w:rsid w:val="00C4000A"/>
    <w:rsid w:val="00C509E5"/>
    <w:rsid w:val="00C50AFE"/>
    <w:rsid w:val="00CD7CC8"/>
    <w:rsid w:val="00CF1E1D"/>
    <w:rsid w:val="00CF5D72"/>
    <w:rsid w:val="00D018EC"/>
    <w:rsid w:val="00D31239"/>
    <w:rsid w:val="00D31D27"/>
    <w:rsid w:val="00D50D87"/>
    <w:rsid w:val="00D511B0"/>
    <w:rsid w:val="00D56F2D"/>
    <w:rsid w:val="00D57C49"/>
    <w:rsid w:val="00D6127E"/>
    <w:rsid w:val="00D9171E"/>
    <w:rsid w:val="00D95AE0"/>
    <w:rsid w:val="00DB04A1"/>
    <w:rsid w:val="00DF47CB"/>
    <w:rsid w:val="00E01A39"/>
    <w:rsid w:val="00E3373E"/>
    <w:rsid w:val="00E45D13"/>
    <w:rsid w:val="00E472B6"/>
    <w:rsid w:val="00E72372"/>
    <w:rsid w:val="00E7694D"/>
    <w:rsid w:val="00E814D6"/>
    <w:rsid w:val="00E92FEB"/>
    <w:rsid w:val="00ED3EE0"/>
    <w:rsid w:val="00F056C7"/>
    <w:rsid w:val="00F272FA"/>
    <w:rsid w:val="00F31503"/>
    <w:rsid w:val="00F64D99"/>
    <w:rsid w:val="00F64FB6"/>
    <w:rsid w:val="00F85AAA"/>
    <w:rsid w:val="00F872C0"/>
    <w:rsid w:val="00FA451F"/>
    <w:rsid w:val="00FC1FD8"/>
    <w:rsid w:val="00FD1254"/>
    <w:rsid w:val="00FD5C50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8E9E7"/>
  <w15:docId w15:val="{8B7572A0-E6B0-1944-83FD-3803E0D5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FB"/>
  </w:style>
  <w:style w:type="paragraph" w:styleId="Footer">
    <w:name w:val="footer"/>
    <w:basedOn w:val="Normal"/>
    <w:link w:val="FooterChar"/>
    <w:uiPriority w:val="99"/>
    <w:unhideWhenUsed/>
    <w:rsid w:val="003C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FB"/>
  </w:style>
  <w:style w:type="paragraph" w:styleId="ListParagraph">
    <w:name w:val="List Paragraph"/>
    <w:basedOn w:val="Normal"/>
    <w:uiPriority w:val="34"/>
    <w:qFormat/>
    <w:rsid w:val="00873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 Phạm</cp:lastModifiedBy>
  <cp:revision>71</cp:revision>
  <dcterms:created xsi:type="dcterms:W3CDTF">2019-09-24T00:52:00Z</dcterms:created>
  <dcterms:modified xsi:type="dcterms:W3CDTF">2022-11-18T11:25:00Z</dcterms:modified>
</cp:coreProperties>
</file>