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40" w:rsidRDefault="00D87EAB" w:rsidP="00AA2B0B">
      <w:pPr>
        <w:spacing w:after="0" w:line="300" w:lineRule="auto"/>
        <w:jc w:val="center"/>
        <w:rPr>
          <w:rFonts w:ascii="Times New Roman" w:hAnsi="Times New Roman" w:cs="Times New Roman"/>
          <w:b/>
          <w:sz w:val="26"/>
          <w:szCs w:val="26"/>
        </w:rPr>
      </w:pPr>
      <w:r>
        <w:rPr>
          <w:rFonts w:ascii="Times New Roman" w:hAnsi="Times New Roman" w:cs="Times New Roman"/>
          <w:b/>
          <w:sz w:val="26"/>
          <w:szCs w:val="26"/>
        </w:rPr>
        <w:t>Điều trị</w:t>
      </w:r>
      <w:r w:rsidR="00493931">
        <w:rPr>
          <w:rFonts w:ascii="Times New Roman" w:hAnsi="Times New Roman" w:cs="Times New Roman"/>
          <w:b/>
          <w:sz w:val="26"/>
          <w:szCs w:val="26"/>
        </w:rPr>
        <w:t xml:space="preserve"> </w:t>
      </w:r>
      <w:r w:rsidR="00430EFF" w:rsidRPr="00923F05">
        <w:rPr>
          <w:rFonts w:ascii="Times New Roman" w:hAnsi="Times New Roman" w:cs="Times New Roman"/>
          <w:b/>
          <w:sz w:val="26"/>
          <w:szCs w:val="26"/>
        </w:rPr>
        <w:t>viêm phổi ở trẻ em</w:t>
      </w:r>
    </w:p>
    <w:p w:rsidR="00493931" w:rsidRPr="00493931" w:rsidRDefault="00D87EAB" w:rsidP="00493931">
      <w:pPr>
        <w:spacing w:after="0" w:line="300" w:lineRule="auto"/>
        <w:jc w:val="center"/>
        <w:rPr>
          <w:rFonts w:ascii="Times New Roman" w:eastAsia="Times New Roman" w:hAnsi="Times New Roman" w:cs="Times New Roman"/>
          <w:b/>
          <w:i/>
          <w:sz w:val="26"/>
          <w:szCs w:val="26"/>
        </w:rPr>
      </w:pPr>
      <w:r>
        <w:rPr>
          <w:rFonts w:ascii="Times New Roman" w:hAnsi="Times New Roman" w:cs="Times New Roman"/>
          <w:b/>
          <w:i/>
          <w:sz w:val="26"/>
          <w:szCs w:val="26"/>
        </w:rPr>
        <w:t>T</w:t>
      </w:r>
      <w:r w:rsidR="00493931" w:rsidRPr="00493931">
        <w:rPr>
          <w:rFonts w:ascii="Times New Roman" w:hAnsi="Times New Roman" w:cs="Times New Roman"/>
          <w:b/>
          <w:i/>
          <w:sz w:val="26"/>
          <w:szCs w:val="26"/>
        </w:rPr>
        <w:t>reatment of pneumonia in children</w:t>
      </w:r>
    </w:p>
    <w:p w:rsidR="000D2DA2" w:rsidRPr="000D2DA2" w:rsidRDefault="000D2DA2" w:rsidP="00D87EAB">
      <w:pPr>
        <w:spacing w:after="0" w:line="300" w:lineRule="auto"/>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 xml:space="preserve"> </w:t>
      </w:r>
      <w:r w:rsidR="00D87EAB" w:rsidRPr="000D2DA2">
        <w:rPr>
          <w:rFonts w:ascii="Times New Roman" w:eastAsia="Times New Roman" w:hAnsi="Times New Roman" w:cs="Times New Roman"/>
          <w:b/>
          <w:bCs/>
          <w:sz w:val="26"/>
          <w:szCs w:val="26"/>
        </w:rPr>
        <w:t>Chỉ định nhập viện</w:t>
      </w:r>
      <w:r w:rsidR="00D87EAB" w:rsidRPr="000D2DA2">
        <w:rPr>
          <w:rFonts w:ascii="Times New Roman" w:eastAsia="Times New Roman" w:hAnsi="Times New Roman" w:cs="Times New Roman"/>
          <w:b/>
          <w:sz w:val="26"/>
          <w:szCs w:val="26"/>
        </w:rPr>
        <w:t xml:space="preserve"> cho trẻ em bị CAP: </w:t>
      </w:r>
    </w:p>
    <w:p w:rsidR="00D87EAB" w:rsidRPr="000D2DA2" w:rsidRDefault="000D2DA2" w:rsidP="00D87EAB">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87EAB" w:rsidRPr="000D2DA2">
        <w:rPr>
          <w:rFonts w:ascii="Times New Roman" w:eastAsia="Times New Roman" w:hAnsi="Times New Roman" w:cs="Times New Roman"/>
          <w:sz w:val="26"/>
          <w:szCs w:val="26"/>
        </w:rPr>
        <w:t>1) mức độ nặng của tình trạng: tím tái, khó thở, thở nhanh, thở rên, SaO2 &lt; 92%, giảm huyết áp, biến chứng phổi-màng phổi, mất nước nặng, bỏ ăn; 2) có các bệnh kèm theo nặng, tình trạng suy giảm miễn dịch; 3) không đáp ứng với việc bắt đầu ABT trong vòng 48 giờ ở bệnh nhân có thâm nhiễm phổi; 4) điều kiện xã hội kém.</w:t>
      </w:r>
    </w:p>
    <w:p w:rsidR="00D87EAB" w:rsidRPr="000D2DA2" w:rsidRDefault="000D2DA2" w:rsidP="00D87EAB">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87EAB" w:rsidRPr="000D2DA2">
        <w:rPr>
          <w:rFonts w:ascii="Times New Roman" w:eastAsia="Times New Roman" w:hAnsi="Times New Roman" w:cs="Times New Roman"/>
          <w:sz w:val="26"/>
          <w:szCs w:val="26"/>
        </w:rPr>
        <w:t xml:space="preserve">Việc lựa chọn thuốc kháng khuẩn (ABD) để điều trị căn nguyên các tác nhân gây CAP chính được thực hiện có tính đến hoạt tính tự nhiên của thuốc, cũng như sự phổ biến và đề kháng của các tác nhân gây bệnh. </w:t>
      </w:r>
      <w:r w:rsidR="00D87EAB" w:rsidRPr="000D2DA2">
        <w:rPr>
          <w:rFonts w:ascii="Times New Roman" w:eastAsia="Times New Roman" w:hAnsi="Times New Roman" w:cs="Times New Roman"/>
          <w:bCs/>
          <w:sz w:val="26"/>
          <w:szCs w:val="26"/>
        </w:rPr>
        <w:t>Nguyên tắc điều trị kinh nghiệm</w:t>
      </w:r>
      <w:r w:rsidR="00D87EAB" w:rsidRPr="000D2DA2">
        <w:rPr>
          <w:rFonts w:ascii="Times New Roman" w:eastAsia="Times New Roman" w:hAnsi="Times New Roman" w:cs="Times New Roman"/>
          <w:sz w:val="26"/>
          <w:szCs w:val="26"/>
        </w:rPr>
        <w:t xml:space="preserve"> cho CAP: bắt đầu điều trị sớm, có tính đến tác nhân gây bệnh có khả năng nhất và độ nhạy cảm của nó với ABD trong khu vực, tuổi của bệnh nhân, sự hiện diện của các bệnh nền, cũng như độc tính và khả năng dung nạp ABD đối với một bệnh nhân cụ thể.</w:t>
      </w:r>
    </w:p>
    <w:p w:rsidR="00D87EAB" w:rsidRPr="000D2DA2" w:rsidRDefault="009B5E58" w:rsidP="00D87EAB">
      <w:pPr>
        <w:spacing w:after="0" w:line="300" w:lineRule="auto"/>
        <w:jc w:val="both"/>
        <w:rPr>
          <w:rFonts w:ascii="Times New Roman" w:eastAsia="Times New Roman" w:hAnsi="Times New Roman" w:cs="Times New Roman"/>
          <w:sz w:val="26"/>
          <w:szCs w:val="26"/>
        </w:rPr>
      </w:pPr>
      <w:r w:rsidRPr="000D2DA2">
        <w:rPr>
          <w:rFonts w:ascii="Times New Roman" w:eastAsia="Times New Roman" w:hAnsi="Times New Roman" w:cs="Times New Roman"/>
          <w:sz w:val="26"/>
          <w:szCs w:val="26"/>
        </w:rPr>
        <w:t xml:space="preserve">       </w:t>
      </w:r>
      <w:r w:rsidR="00D87EAB" w:rsidRPr="000D2DA2">
        <w:rPr>
          <w:rFonts w:ascii="Times New Roman" w:eastAsia="Times New Roman" w:hAnsi="Times New Roman" w:cs="Times New Roman"/>
          <w:sz w:val="26"/>
          <w:szCs w:val="26"/>
        </w:rPr>
        <w:t xml:space="preserve">Trong môi trường ngoại trú, trẻ em chưa dùng ABD trong vòng 3 tháng trước đó được chỉ định dùng </w:t>
      </w:r>
      <w:r w:rsidR="00D87EAB" w:rsidRPr="000D2DA2">
        <w:rPr>
          <w:rFonts w:ascii="Times New Roman" w:eastAsia="Times New Roman" w:hAnsi="Times New Roman" w:cs="Times New Roman"/>
          <w:bCs/>
          <w:sz w:val="26"/>
          <w:szCs w:val="26"/>
        </w:rPr>
        <w:t>amoxicillin</w:t>
      </w:r>
      <w:r w:rsidR="00D87EAB" w:rsidRPr="000D2DA2">
        <w:rPr>
          <w:rFonts w:ascii="Times New Roman" w:eastAsia="Times New Roman" w:hAnsi="Times New Roman" w:cs="Times New Roman"/>
          <w:sz w:val="26"/>
          <w:szCs w:val="26"/>
        </w:rPr>
        <w:t xml:space="preserve"> hoặc </w:t>
      </w:r>
      <w:r w:rsidR="00D87EAB" w:rsidRPr="000D2DA2">
        <w:rPr>
          <w:rFonts w:ascii="Times New Roman" w:eastAsia="Times New Roman" w:hAnsi="Times New Roman" w:cs="Times New Roman"/>
          <w:bCs/>
          <w:sz w:val="26"/>
          <w:szCs w:val="26"/>
        </w:rPr>
        <w:t>macrolide</w:t>
      </w:r>
      <w:r w:rsidR="00D87EAB" w:rsidRPr="000D2DA2">
        <w:rPr>
          <w:rFonts w:ascii="Times New Roman" w:eastAsia="Times New Roman" w:hAnsi="Times New Roman" w:cs="Times New Roman"/>
          <w:sz w:val="26"/>
          <w:szCs w:val="26"/>
        </w:rPr>
        <w:t xml:space="preserve"> bằng đường uống là tối ưu. Amoxicillin có hiệu quả chống lại hầu hết các tác nhân gây CAP. Bệnh nhân có bệnh lý nền hoặc đã dùng kháng sinh trong 3 tháng trước đó được kê đơn </w:t>
      </w:r>
      <w:r w:rsidR="00D87EAB" w:rsidRPr="000D2DA2">
        <w:rPr>
          <w:rFonts w:ascii="Times New Roman" w:eastAsia="Times New Roman" w:hAnsi="Times New Roman" w:cs="Times New Roman"/>
          <w:bCs/>
          <w:sz w:val="26"/>
          <w:szCs w:val="26"/>
        </w:rPr>
        <w:t>amoxicillin/clavulanate</w:t>
      </w:r>
      <w:r w:rsidR="00D87EAB" w:rsidRPr="000D2DA2">
        <w:rPr>
          <w:rFonts w:ascii="Times New Roman" w:eastAsia="Times New Roman" w:hAnsi="Times New Roman" w:cs="Times New Roman"/>
          <w:sz w:val="26"/>
          <w:szCs w:val="26"/>
        </w:rPr>
        <w:t xml:space="preserve"> dùng đơn trị liệu hoặc kết hợp với </w:t>
      </w:r>
      <w:r w:rsidR="00D87EAB" w:rsidRPr="000D2DA2">
        <w:rPr>
          <w:rFonts w:ascii="Times New Roman" w:eastAsia="Times New Roman" w:hAnsi="Times New Roman" w:cs="Times New Roman"/>
          <w:bCs/>
          <w:sz w:val="26"/>
          <w:szCs w:val="26"/>
        </w:rPr>
        <w:t>macrolide</w:t>
      </w:r>
      <w:r w:rsidR="00D87EAB" w:rsidRPr="000D2DA2">
        <w:rPr>
          <w:rFonts w:ascii="Times New Roman" w:eastAsia="Times New Roman" w:hAnsi="Times New Roman" w:cs="Times New Roman"/>
          <w:sz w:val="26"/>
          <w:szCs w:val="26"/>
        </w:rPr>
        <w:t xml:space="preserve"> (azithromycin, clarithromycin). Macrolide cũng nên được sử dụng khi nghi ngờ viêm phổi do </w:t>
      </w:r>
      <w:r w:rsidR="00D87EAB" w:rsidRPr="000D2DA2">
        <w:rPr>
          <w:rFonts w:ascii="Times New Roman" w:eastAsia="Times New Roman" w:hAnsi="Times New Roman" w:cs="Times New Roman"/>
          <w:i/>
          <w:iCs/>
          <w:sz w:val="26"/>
          <w:szCs w:val="26"/>
        </w:rPr>
        <w:t>mycoplasma</w:t>
      </w:r>
      <w:r w:rsidR="00D87EAB" w:rsidRPr="000D2DA2">
        <w:rPr>
          <w:rFonts w:ascii="Times New Roman" w:eastAsia="Times New Roman" w:hAnsi="Times New Roman" w:cs="Times New Roman"/>
          <w:sz w:val="26"/>
          <w:szCs w:val="26"/>
        </w:rPr>
        <w:t xml:space="preserve"> hoặc </w:t>
      </w:r>
      <w:r w:rsidR="00D87EAB" w:rsidRPr="000D2DA2">
        <w:rPr>
          <w:rFonts w:ascii="Times New Roman" w:eastAsia="Times New Roman" w:hAnsi="Times New Roman" w:cs="Times New Roman"/>
          <w:i/>
          <w:iCs/>
          <w:sz w:val="26"/>
          <w:szCs w:val="26"/>
        </w:rPr>
        <w:t>chlamydia</w:t>
      </w:r>
      <w:r w:rsidR="00D87EAB" w:rsidRPr="000D2DA2">
        <w:rPr>
          <w:rFonts w:ascii="Times New Roman" w:eastAsia="Times New Roman" w:hAnsi="Times New Roman" w:cs="Times New Roman"/>
          <w:sz w:val="26"/>
          <w:szCs w:val="26"/>
        </w:rPr>
        <w:t>. Cephalosporin thế hệ II–IV có thể được sử dụng làm thuốc thay thế (Bảng 1, 2).</w:t>
      </w:r>
    </w:p>
    <w:p w:rsidR="00D87EAB" w:rsidRPr="00067A40" w:rsidRDefault="009B5E58" w:rsidP="00D87EAB">
      <w:pPr>
        <w:spacing w:after="0" w:line="300" w:lineRule="auto"/>
        <w:jc w:val="both"/>
        <w:rPr>
          <w:rFonts w:ascii="Times New Roman" w:eastAsia="Times New Roman" w:hAnsi="Times New Roman" w:cs="Times New Roman"/>
          <w:sz w:val="26"/>
          <w:szCs w:val="26"/>
        </w:rPr>
      </w:pPr>
      <w:r w:rsidRPr="000D2DA2">
        <w:rPr>
          <w:rFonts w:ascii="Times New Roman" w:eastAsia="Times New Roman" w:hAnsi="Times New Roman" w:cs="Times New Roman"/>
          <w:sz w:val="26"/>
          <w:szCs w:val="26"/>
        </w:rPr>
        <w:t xml:space="preserve">       </w:t>
      </w:r>
      <w:r w:rsidR="00D87EAB" w:rsidRPr="000D2DA2">
        <w:rPr>
          <w:rFonts w:ascii="Times New Roman" w:eastAsia="Times New Roman" w:hAnsi="Times New Roman" w:cs="Times New Roman"/>
          <w:sz w:val="26"/>
          <w:szCs w:val="26"/>
        </w:rPr>
        <w:t xml:space="preserve">Thời gian điều trị viêm phổi điển hình không biến chứng là khoảng </w:t>
      </w:r>
      <w:r w:rsidR="00D87EAB" w:rsidRPr="000D2DA2">
        <w:rPr>
          <w:rFonts w:ascii="Times New Roman" w:eastAsia="Times New Roman" w:hAnsi="Times New Roman" w:cs="Times New Roman"/>
          <w:bCs/>
          <w:sz w:val="26"/>
          <w:szCs w:val="26"/>
        </w:rPr>
        <w:t>5 ngày</w:t>
      </w:r>
      <w:r w:rsidR="00D87EAB" w:rsidRPr="000D2DA2">
        <w:rPr>
          <w:rFonts w:ascii="Times New Roman" w:eastAsia="Times New Roman" w:hAnsi="Times New Roman" w:cs="Times New Roman"/>
          <w:sz w:val="26"/>
          <w:szCs w:val="26"/>
        </w:rPr>
        <w:t xml:space="preserve"> (2 ngày sau khi thân nhiệt giảm). Theo các tác giả, ở trẻ em đáp ứng với điều trị ban đầu đối với CAP ngoại trú, chiến lược kháng sinh 5 ngày </w:t>
      </w:r>
      <w:r w:rsidR="00D87EAB" w:rsidRPr="000D2DA2">
        <w:rPr>
          <w:rFonts w:ascii="Times New Roman" w:eastAsia="Times New Roman" w:hAnsi="Times New Roman" w:cs="Times New Roman"/>
          <w:bCs/>
          <w:sz w:val="26"/>
          <w:szCs w:val="26"/>
        </w:rPr>
        <w:t>tốt hơn</w:t>
      </w:r>
      <w:r w:rsidR="00D87EAB" w:rsidRPr="000D2DA2">
        <w:rPr>
          <w:rFonts w:ascii="Times New Roman" w:eastAsia="Times New Roman" w:hAnsi="Times New Roman" w:cs="Times New Roman"/>
          <w:sz w:val="26"/>
          <w:szCs w:val="26"/>
        </w:rPr>
        <w:t xml:space="preserve"> so với chiến lược 10 ngày. Cách tiếp cận rút ngắn mang lại đáp ứng lâm sàng tương tự và các tác dụng phụ liên quan đến kháng sinh, đồng thời giảm phơi nhiễm kháng sinh và đề kháng. Điều trị viêm phổi không điển hình ở thanh thiếu niên </w:t>
      </w:r>
      <w:r w:rsidR="00D87EAB" w:rsidRPr="000D2DA2">
        <w:rPr>
          <w:rFonts w:ascii="Times New Roman" w:eastAsia="Times New Roman" w:hAnsi="Times New Roman" w:cs="Times New Roman"/>
          <w:bCs/>
          <w:sz w:val="26"/>
          <w:szCs w:val="26"/>
        </w:rPr>
        <w:t>2 tuần</w:t>
      </w:r>
      <w:r w:rsidR="00D87EAB" w:rsidRPr="000D2DA2">
        <w:rPr>
          <w:rFonts w:ascii="Times New Roman" w:eastAsia="Times New Roman" w:hAnsi="Times New Roman" w:cs="Times New Roman"/>
          <w:sz w:val="26"/>
          <w:szCs w:val="26"/>
        </w:rPr>
        <w:t xml:space="preserve"> (nguy cơ suy giảm khuếch tán), ở trẻ em đến 12 tuổi là </w:t>
      </w:r>
      <w:r w:rsidR="00D87EAB" w:rsidRPr="000D2DA2">
        <w:rPr>
          <w:rFonts w:ascii="Times New Roman" w:eastAsia="Times New Roman" w:hAnsi="Times New Roman" w:cs="Times New Roman"/>
          <w:bCs/>
          <w:sz w:val="26"/>
          <w:szCs w:val="26"/>
        </w:rPr>
        <w:t>1 tuần</w:t>
      </w:r>
      <w:r w:rsidR="00D87EAB" w:rsidRPr="000D2DA2">
        <w:rPr>
          <w:rFonts w:ascii="Times New Roman" w:eastAsia="Times New Roman" w:hAnsi="Times New Roman" w:cs="Times New Roman"/>
          <w:sz w:val="26"/>
          <w:szCs w:val="26"/>
        </w:rPr>
        <w:t xml:space="preserve">. Tiêu chí chính để ngừng kháng sinh là sự thoái lui của các </w:t>
      </w:r>
      <w:r w:rsidRPr="000D2DA2">
        <w:rPr>
          <w:rFonts w:ascii="Times New Roman" w:eastAsia="Times New Roman" w:hAnsi="Times New Roman" w:cs="Times New Roman"/>
          <w:sz w:val="26"/>
          <w:szCs w:val="26"/>
        </w:rPr>
        <w:t>triệu chứng lâm sàng.</w:t>
      </w:r>
      <w:r>
        <w:rPr>
          <w:rFonts w:ascii="Times New Roman" w:eastAsia="Times New Roman" w:hAnsi="Times New Roman" w:cs="Times New Roman"/>
          <w:sz w:val="26"/>
          <w:szCs w:val="26"/>
        </w:rPr>
        <w:t xml:space="preserve"> </w:t>
      </w:r>
    </w:p>
    <w:p w:rsidR="00D87EAB" w:rsidRDefault="00D87EAB" w:rsidP="00D87EAB">
      <w:pPr>
        <w:spacing w:after="0" w:line="300" w:lineRule="auto"/>
        <w:jc w:val="both"/>
        <w:rPr>
          <w:rFonts w:ascii="Times New Roman" w:eastAsia="Times New Roman" w:hAnsi="Times New Roman" w:cs="Times New Roman"/>
          <w:sz w:val="26"/>
          <w:szCs w:val="26"/>
        </w:rPr>
      </w:pPr>
      <w:r w:rsidRPr="00067A40">
        <w:rPr>
          <w:rFonts w:ascii="Times New Roman" w:eastAsia="Times New Roman" w:hAnsi="Times New Roman" w:cs="Times New Roman"/>
          <w:sz w:val="26"/>
          <w:szCs w:val="26"/>
        </w:rPr>
        <w:t>Bảng 1</w:t>
      </w:r>
    </w:p>
    <w:tbl>
      <w:tblPr>
        <w:tblW w:w="10074" w:type="dxa"/>
        <w:tblCellSpacing w:w="15" w:type="dxa"/>
        <w:tblCellMar>
          <w:left w:w="0" w:type="dxa"/>
          <w:right w:w="0" w:type="dxa"/>
        </w:tblCellMar>
        <w:tblLook w:val="04A0" w:firstRow="1" w:lastRow="0" w:firstColumn="1" w:lastColumn="0" w:noHBand="0" w:noVBand="1"/>
      </w:tblPr>
      <w:tblGrid>
        <w:gridCol w:w="1692"/>
        <w:gridCol w:w="3262"/>
        <w:gridCol w:w="2740"/>
        <w:gridCol w:w="2380"/>
      </w:tblGrid>
      <w:tr w:rsidR="00D87EAB" w:rsidRPr="00D87EAB" w:rsidTr="009B5E5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Age of the patient</w:t>
            </w:r>
          </w:p>
        </w:tc>
        <w:tc>
          <w:tcPr>
            <w:tcW w:w="32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Most common pathogens</w:t>
            </w:r>
          </w:p>
        </w:tc>
        <w:tc>
          <w:tcPr>
            <w:tcW w:w="271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Drugs of choice</w:t>
            </w:r>
          </w:p>
        </w:tc>
        <w:tc>
          <w:tcPr>
            <w:tcW w:w="23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Alternative drugs</w:t>
            </w:r>
          </w:p>
        </w:tc>
      </w:tr>
      <w:tr w:rsidR="00D87EAB" w:rsidRPr="00D87EAB" w:rsidTr="009B5E5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Newborns</w:t>
            </w:r>
          </w:p>
        </w:tc>
        <w:tc>
          <w:tcPr>
            <w:tcW w:w="32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i/>
                <w:iCs/>
                <w:color w:val="1F1F1F"/>
                <w:sz w:val="24"/>
                <w:szCs w:val="24"/>
                <w:bdr w:val="none" w:sz="0" w:space="0" w:color="auto" w:frame="1"/>
              </w:rPr>
              <w:t>S. pneumoniae B</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Enterobacteriaceae</w:t>
            </w:r>
          </w:p>
        </w:tc>
        <w:tc>
          <w:tcPr>
            <w:tcW w:w="271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Ampicillin amoxicillin/clavulanate $\pm$ AG</w:t>
            </w:r>
          </w:p>
        </w:tc>
        <w:tc>
          <w:tcPr>
            <w:tcW w:w="23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Cefotaxime $\pm$ AG, imipenem</w:t>
            </w:r>
          </w:p>
        </w:tc>
      </w:tr>
      <w:tr w:rsidR="00D87EAB" w:rsidRPr="00D87EAB" w:rsidTr="009B5E5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lastRenderedPageBreak/>
              <w:t>1 to 3 months</w:t>
            </w:r>
          </w:p>
        </w:tc>
        <w:tc>
          <w:tcPr>
            <w:tcW w:w="32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 xml:space="preserve">Viruses (respiratory syncytial, para-influenza, enteroviruses), </w:t>
            </w:r>
            <w:r w:rsidRPr="00D87EAB">
              <w:rPr>
                <w:rFonts w:ascii="Times New Roman" w:eastAsia="Times New Roman" w:hAnsi="Times New Roman" w:cs="Times New Roman"/>
                <w:i/>
                <w:iCs/>
                <w:color w:val="1F1F1F"/>
                <w:sz w:val="24"/>
                <w:szCs w:val="24"/>
                <w:bdr w:val="none" w:sz="0" w:space="0" w:color="auto" w:frame="1"/>
              </w:rPr>
              <w:t>Enterobacteriaceae (E. coli và các loại khác)</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H. influenzae</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C. trachomatis</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S. aureus</w:t>
            </w:r>
          </w:p>
        </w:tc>
        <w:tc>
          <w:tcPr>
            <w:tcW w:w="271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Amoxicillin/clavulanate ampicillin $\pm$ macrolide</w:t>
            </w:r>
          </w:p>
        </w:tc>
        <w:tc>
          <w:tcPr>
            <w:tcW w:w="23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CS II–III</w:t>
            </w:r>
          </w:p>
        </w:tc>
      </w:tr>
      <w:tr w:rsidR="00D87EAB" w:rsidRPr="00D87EAB" w:rsidTr="009B5E5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3 months to 5 years</w:t>
            </w:r>
          </w:p>
        </w:tc>
        <w:tc>
          <w:tcPr>
            <w:tcW w:w="32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 xml:space="preserve">Viruses, </w:t>
            </w:r>
            <w:r w:rsidRPr="00D87EAB">
              <w:rPr>
                <w:rFonts w:ascii="Times New Roman" w:eastAsia="Times New Roman" w:hAnsi="Times New Roman" w:cs="Times New Roman"/>
                <w:i/>
                <w:iCs/>
                <w:color w:val="1F1F1F"/>
                <w:sz w:val="24"/>
                <w:szCs w:val="24"/>
                <w:bdr w:val="none" w:sz="0" w:space="0" w:color="auto" w:frame="1"/>
              </w:rPr>
              <w:t>S. pneumoniae</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H. influenzae</w:t>
            </w:r>
          </w:p>
        </w:tc>
        <w:tc>
          <w:tcPr>
            <w:tcW w:w="271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Oral: amoxicillin amoxicillin/clavulanate macrolide</w:t>
            </w:r>
          </w:p>
        </w:tc>
        <w:tc>
          <w:tcPr>
            <w:tcW w:w="23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Oral: cefuroxime $\pm$ macrolide. Parenterally: CS II–IV, carbapenem</w:t>
            </w:r>
          </w:p>
        </w:tc>
      </w:tr>
      <w:tr w:rsidR="00D87EAB" w:rsidRPr="00D87EAB" w:rsidTr="009B5E58">
        <w:trPr>
          <w:trHeight w:val="143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Over 5 years</w:t>
            </w:r>
          </w:p>
        </w:tc>
        <w:tc>
          <w:tcPr>
            <w:tcW w:w="32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i/>
                <w:iCs/>
                <w:color w:val="1F1F1F"/>
                <w:sz w:val="24"/>
                <w:szCs w:val="24"/>
                <w:bdr w:val="none" w:sz="0" w:space="0" w:color="auto" w:frame="1"/>
              </w:rPr>
              <w:t>S. pneumoniae</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M. pneumoniae</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C. pneumoniae</w:t>
            </w:r>
          </w:p>
        </w:tc>
        <w:tc>
          <w:tcPr>
            <w:tcW w:w="271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Oral: amoxicillin macrolide</w:t>
            </w:r>
          </w:p>
        </w:tc>
        <w:tc>
          <w:tcPr>
            <w:tcW w:w="23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Oral: amoxicillin / clavulanate, cefuroxime. Parenterally: CS II–IV, carbapenem, lincosamide</w:t>
            </w:r>
          </w:p>
        </w:tc>
      </w:tr>
      <w:tr w:rsidR="00D87EAB" w:rsidRPr="00D87EAB" w:rsidTr="009B5E58">
        <w:trPr>
          <w:trHeight w:val="120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b/>
                <w:bCs/>
                <w:color w:val="1F1F1F"/>
                <w:sz w:val="24"/>
                <w:szCs w:val="24"/>
                <w:bdr w:val="none" w:sz="0" w:space="0" w:color="auto" w:frame="1"/>
              </w:rPr>
              <w:t>Pneumonia complicated by pleuritis and destruction</w:t>
            </w:r>
          </w:p>
        </w:tc>
        <w:tc>
          <w:tcPr>
            <w:tcW w:w="323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i/>
                <w:iCs/>
                <w:color w:val="1F1F1F"/>
                <w:sz w:val="24"/>
                <w:szCs w:val="24"/>
                <w:bdr w:val="none" w:sz="0" w:space="0" w:color="auto" w:frame="1"/>
              </w:rPr>
              <w:t>S. pneumoniae</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H. influenzae</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S. aureus</w:t>
            </w:r>
            <w:r w:rsidRPr="00D87EAB">
              <w:rPr>
                <w:rFonts w:ascii="Times New Roman" w:eastAsia="Times New Roman" w:hAnsi="Times New Roman" w:cs="Times New Roman"/>
                <w:color w:val="1F1F1F"/>
                <w:sz w:val="24"/>
                <w:szCs w:val="24"/>
                <w:bdr w:val="none" w:sz="0" w:space="0" w:color="auto" w:frame="1"/>
              </w:rPr>
              <w:t xml:space="preserve">, </w:t>
            </w:r>
            <w:r w:rsidRPr="00D87EAB">
              <w:rPr>
                <w:rFonts w:ascii="Times New Roman" w:eastAsia="Times New Roman" w:hAnsi="Times New Roman" w:cs="Times New Roman"/>
                <w:i/>
                <w:iCs/>
                <w:color w:val="1F1F1F"/>
                <w:sz w:val="24"/>
                <w:szCs w:val="24"/>
                <w:bdr w:val="none" w:sz="0" w:space="0" w:color="auto" w:frame="1"/>
              </w:rPr>
              <w:t>Enterobacteriaceae</w:t>
            </w:r>
          </w:p>
        </w:tc>
        <w:tc>
          <w:tcPr>
            <w:tcW w:w="271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Parenteral: amoxicillin/clavulanate amoxicillin/sulbactam</w:t>
            </w:r>
          </w:p>
        </w:tc>
        <w:tc>
          <w:tcPr>
            <w:tcW w:w="23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D87EAB" w:rsidRPr="00D87EAB" w:rsidRDefault="00D87EAB" w:rsidP="00D87EAB">
            <w:pPr>
              <w:spacing w:after="0" w:line="240" w:lineRule="auto"/>
              <w:rPr>
                <w:rFonts w:ascii="Times New Roman" w:eastAsia="Times New Roman" w:hAnsi="Times New Roman" w:cs="Times New Roman"/>
                <w:color w:val="1F1F1F"/>
                <w:sz w:val="24"/>
                <w:szCs w:val="24"/>
              </w:rPr>
            </w:pPr>
            <w:r w:rsidRPr="00D87EAB">
              <w:rPr>
                <w:rFonts w:ascii="Times New Roman" w:eastAsia="Times New Roman" w:hAnsi="Times New Roman" w:cs="Times New Roman"/>
                <w:color w:val="1F1F1F"/>
                <w:sz w:val="24"/>
                <w:szCs w:val="24"/>
                <w:bdr w:val="none" w:sz="0" w:space="0" w:color="auto" w:frame="1"/>
              </w:rPr>
              <w:t>Parenterally: CS II-IV, cefazolin + AG, lincosamide + AG, carbapenem</w:t>
            </w:r>
          </w:p>
        </w:tc>
      </w:tr>
    </w:tbl>
    <w:p w:rsidR="00D87EAB" w:rsidRDefault="00D87EAB" w:rsidP="00D87EAB">
      <w:pPr>
        <w:spacing w:after="0" w:line="300" w:lineRule="auto"/>
        <w:jc w:val="both"/>
        <w:rPr>
          <w:rFonts w:ascii="Times New Roman" w:eastAsia="Times New Roman" w:hAnsi="Times New Roman" w:cs="Times New Roman"/>
          <w:sz w:val="26"/>
          <w:szCs w:val="26"/>
        </w:rPr>
      </w:pPr>
    </w:p>
    <w:p w:rsidR="000D2DA2" w:rsidRPr="00067A40" w:rsidRDefault="000D2DA2" w:rsidP="00D87EAB">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Bảng 2</w:t>
      </w:r>
    </w:p>
    <w:tbl>
      <w:tblPr>
        <w:tblW w:w="0" w:type="auto"/>
        <w:tblCellSpacing w:w="15" w:type="dxa"/>
        <w:tblCellMar>
          <w:left w:w="0" w:type="dxa"/>
          <w:right w:w="0" w:type="dxa"/>
        </w:tblCellMar>
        <w:tblLook w:val="04A0" w:firstRow="1" w:lastRow="0" w:firstColumn="1" w:lastColumn="0" w:noHBand="0" w:noVBand="1"/>
      </w:tblPr>
      <w:tblGrid>
        <w:gridCol w:w="2862"/>
        <w:gridCol w:w="3864"/>
        <w:gridCol w:w="3300"/>
      </w:tblGrid>
      <w:tr w:rsidR="009B5E58" w:rsidRPr="009B5E58" w:rsidTr="009B5E58">
        <w:trPr>
          <w:tblHeade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Drug</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Dose, frequency of administration and maximum daily dose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Forms for oral/parenteral administration</w:t>
            </w:r>
          </w:p>
        </w:tc>
      </w:tr>
      <w:tr w:rsidR="009B5E58" w:rsidRPr="009B5E58" w:rsidTr="009B5E58">
        <w:trP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Amoxicillin/clavulanate</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$45-90$ mg/kg/day for 2 doses (for amoxicillin)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Suspension 200 mg/400 mg or 600 mg in 5 ml, dispersible tablets</w:t>
            </w:r>
          </w:p>
        </w:tc>
      </w:tr>
      <w:tr w:rsidR="009B5E58" w:rsidRPr="009B5E58" w:rsidTr="009B5E58">
        <w:trP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Cefuroxime axetil</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30 mg/kg/day in 2 doses, the maximum daily dose is 500 mg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Suspension (per 5 ml) 125 or 250 mg, tablets 125 and 250 mg</w:t>
            </w:r>
          </w:p>
        </w:tc>
      </w:tr>
      <w:tr w:rsidR="009B5E58" w:rsidRPr="009B5E58" w:rsidTr="009B5E58">
        <w:trP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lastRenderedPageBreak/>
              <w:t>Ceftibuten</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9 mg/kg/day. 1-2 times a day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Capsules 0.4 g, powder for suspension 0.036 g/ml in vials</w:t>
            </w:r>
          </w:p>
        </w:tc>
      </w:tr>
      <w:tr w:rsidR="009B5E58" w:rsidRPr="009B5E58" w:rsidTr="009B5E58">
        <w:trP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Cefotaxime</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$50-100$ mg/kg/day 2-3 times a day; IM, preferably IV</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Powder for solution for injection, 0.5 and 1 g</w:t>
            </w:r>
          </w:p>
        </w:tc>
      </w:tr>
      <w:tr w:rsidR="009B5E58" w:rsidRPr="009B5E58" w:rsidTr="009B5E58">
        <w:trP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Ceftriaxone</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5–12 years: $20-75$ mg/kg/day once, with a body weight of 50 kg - 1-2 g / day, the maximum dose is 4 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Powder for solution for injection, 0.25, 0.5, 1 g</w:t>
            </w:r>
          </w:p>
        </w:tc>
      </w:tr>
      <w:tr w:rsidR="009B5E58" w:rsidRPr="009B5E58" w:rsidTr="009B5E58">
        <w:trP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Azithromycin</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Up to 12 years: 10 mg / kg / day, the maximum course dose is 30 mg / kg. Over 12 years: 0.5 g / day.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Powder for suspension for oral administration 100 mg/5 ml, 200 mg/5 ml, capsules 0.25 g, coated tablets 0.5 g</w:t>
            </w:r>
          </w:p>
        </w:tc>
      </w:tr>
      <w:tr w:rsidR="009B5E58" w:rsidRPr="009B5E58" w:rsidTr="009B5E58">
        <w:trPr>
          <w:tblCellSpacing w:w="15" w:type="dxa"/>
        </w:trPr>
        <w:tc>
          <w:tcPr>
            <w:tcW w:w="278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b/>
                <w:bCs/>
                <w:color w:val="1F1F1F"/>
                <w:sz w:val="24"/>
                <w:szCs w:val="24"/>
                <w:bdr w:val="none" w:sz="0" w:space="0" w:color="auto" w:frame="1"/>
              </w:rPr>
              <w:t>Clarithromycin</w:t>
            </w:r>
          </w:p>
        </w:tc>
        <w:tc>
          <w:tcPr>
            <w:tcW w:w="383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Up to 12 years: 15 mg / kg / day. Over 12 years old: $0.5-1.0$ g/day.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B5E58" w:rsidRPr="009B5E58" w:rsidRDefault="009B5E58" w:rsidP="009B5E58">
            <w:pPr>
              <w:spacing w:after="0" w:line="240" w:lineRule="auto"/>
              <w:rPr>
                <w:rFonts w:ascii="Times New Roman" w:eastAsia="Times New Roman" w:hAnsi="Times New Roman" w:cs="Times New Roman"/>
                <w:color w:val="1F1F1F"/>
                <w:sz w:val="24"/>
                <w:szCs w:val="24"/>
              </w:rPr>
            </w:pPr>
            <w:r w:rsidRPr="009B5E58">
              <w:rPr>
                <w:rFonts w:ascii="Times New Roman" w:eastAsia="Times New Roman" w:hAnsi="Times New Roman" w:cs="Times New Roman"/>
                <w:color w:val="1F1F1F"/>
                <w:sz w:val="24"/>
                <w:szCs w:val="24"/>
                <w:bdr w:val="none" w:sz="0" w:space="0" w:color="auto" w:frame="1"/>
              </w:rPr>
              <w:t>Tablets 0.25 and 0.5 g</w:t>
            </w:r>
          </w:p>
        </w:tc>
      </w:tr>
    </w:tbl>
    <w:p w:rsidR="000D2DA2" w:rsidRDefault="000D2DA2" w:rsidP="009B5E58">
      <w:pPr>
        <w:spacing w:after="0" w:line="300" w:lineRule="auto"/>
        <w:jc w:val="both"/>
        <w:rPr>
          <w:rFonts w:ascii="Times New Roman" w:eastAsia="Times New Roman" w:hAnsi="Times New Roman" w:cs="Times New Roman"/>
          <w:b/>
          <w:sz w:val="26"/>
          <w:szCs w:val="26"/>
        </w:rPr>
      </w:pPr>
    </w:p>
    <w:p w:rsidR="00D87EAB" w:rsidRPr="009B5E58" w:rsidRDefault="00D87EAB" w:rsidP="009B5E58">
      <w:pPr>
        <w:spacing w:after="0" w:line="300" w:lineRule="auto"/>
        <w:jc w:val="both"/>
        <w:rPr>
          <w:rFonts w:ascii="Times New Roman" w:eastAsia="Times New Roman" w:hAnsi="Times New Roman" w:cs="Times New Roman"/>
          <w:b/>
          <w:sz w:val="26"/>
          <w:szCs w:val="26"/>
        </w:rPr>
      </w:pPr>
      <w:bookmarkStart w:id="0" w:name="_GoBack"/>
      <w:bookmarkEnd w:id="0"/>
      <w:r w:rsidRPr="009B5E58">
        <w:rPr>
          <w:rFonts w:ascii="Times New Roman" w:eastAsia="Times New Roman" w:hAnsi="Times New Roman" w:cs="Times New Roman"/>
          <w:b/>
          <w:sz w:val="26"/>
          <w:szCs w:val="26"/>
        </w:rPr>
        <w:t>Căn nguyên viêm phổi ở trẻ em và lựa chọn kháng khuẩn kinh nghiệm</w:t>
      </w:r>
    </w:p>
    <w:p w:rsidR="00D87EAB" w:rsidRPr="009B5E58" w:rsidRDefault="009B5E58" w:rsidP="00D87EAB">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87EAB" w:rsidRPr="009B5E58">
        <w:rPr>
          <w:rFonts w:ascii="Times New Roman" w:eastAsia="Times New Roman" w:hAnsi="Times New Roman" w:cs="Times New Roman"/>
          <w:sz w:val="26"/>
          <w:szCs w:val="26"/>
        </w:rPr>
        <w:t xml:space="preserve">Không có mất chất lỏng rõ rệt trong viêm phổi (ngoại trừ mất mồ hôi), vì vậy </w:t>
      </w:r>
      <w:r w:rsidR="00D87EAB" w:rsidRPr="009B5E58">
        <w:rPr>
          <w:rFonts w:ascii="Times New Roman" w:eastAsia="Times New Roman" w:hAnsi="Times New Roman" w:cs="Times New Roman"/>
          <w:bCs/>
          <w:sz w:val="26"/>
          <w:szCs w:val="26"/>
        </w:rPr>
        <w:t>bù nước bằng đường uống</w:t>
      </w:r>
      <w:r w:rsidR="00D87EAB" w:rsidRPr="009B5E58">
        <w:rPr>
          <w:rFonts w:ascii="Times New Roman" w:eastAsia="Times New Roman" w:hAnsi="Times New Roman" w:cs="Times New Roman"/>
          <w:sz w:val="26"/>
          <w:szCs w:val="26"/>
        </w:rPr>
        <w:t xml:space="preserve"> được kê đơn theo nhu cầu sinh lý ở tất cả bệnh nhân viêm phổi không biến chứng và ở 80-90% bệnh nhân viêm phổi có biến chứng. </w:t>
      </w:r>
      <w:r w:rsidR="00D87EAB" w:rsidRPr="009B5E58">
        <w:rPr>
          <w:rFonts w:ascii="Times New Roman" w:eastAsia="Times New Roman" w:hAnsi="Times New Roman" w:cs="Times New Roman"/>
          <w:bCs/>
          <w:sz w:val="26"/>
          <w:szCs w:val="26"/>
        </w:rPr>
        <w:t>Thuốc hạ sốt</w:t>
      </w:r>
      <w:r w:rsidR="00D87EAB" w:rsidRPr="009B5E58">
        <w:rPr>
          <w:rFonts w:ascii="Times New Roman" w:eastAsia="Times New Roman" w:hAnsi="Times New Roman" w:cs="Times New Roman"/>
          <w:sz w:val="26"/>
          <w:szCs w:val="26"/>
        </w:rPr>
        <w:t xml:space="preserve"> [paracetamol (liều 10–15 mg/kg, liều tối đa hàng ngày 60 mg/kg), ibuprofen (liều 5–10 mg/kg, liều tối đa hàng ngày 30 mg/kg)] được sử dụng theo tình huống đối với viêm phổi. </w:t>
      </w:r>
      <w:r w:rsidR="00D87EAB" w:rsidRPr="009B5E58">
        <w:rPr>
          <w:rFonts w:ascii="Times New Roman" w:eastAsia="Times New Roman" w:hAnsi="Times New Roman" w:cs="Times New Roman"/>
          <w:bCs/>
          <w:sz w:val="26"/>
          <w:szCs w:val="26"/>
        </w:rPr>
        <w:t>Tuyệt đối chống chỉ định</w:t>
      </w:r>
      <w:r w:rsidR="00D87EAB" w:rsidRPr="009B5E58">
        <w:rPr>
          <w:rFonts w:ascii="Times New Roman" w:eastAsia="Times New Roman" w:hAnsi="Times New Roman" w:cs="Times New Roman"/>
          <w:sz w:val="26"/>
          <w:szCs w:val="26"/>
        </w:rPr>
        <w:t xml:space="preserve"> kê đơn chúng theo kế hoạch, vì chúng tạo ra ảo giác khỏe mạnh và gây khó khăn trong việc đánh giá hiệu quả của điều trị kháng khuẩn.</w:t>
      </w:r>
    </w:p>
    <w:p w:rsidR="00D87EAB" w:rsidRPr="009B5E58" w:rsidRDefault="009B5E58" w:rsidP="00D87EAB">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87EAB" w:rsidRPr="009B5E58">
        <w:rPr>
          <w:rFonts w:ascii="Times New Roman" w:eastAsia="Times New Roman" w:hAnsi="Times New Roman" w:cs="Times New Roman"/>
          <w:sz w:val="26"/>
          <w:szCs w:val="26"/>
        </w:rPr>
        <w:t xml:space="preserve">Các loại thuốc </w:t>
      </w:r>
      <w:r w:rsidR="00D87EAB" w:rsidRPr="009B5E58">
        <w:rPr>
          <w:rFonts w:ascii="Times New Roman" w:eastAsia="Times New Roman" w:hAnsi="Times New Roman" w:cs="Times New Roman"/>
          <w:bCs/>
          <w:sz w:val="26"/>
          <w:szCs w:val="26"/>
        </w:rPr>
        <w:t>làm giảm độ nhớt của đờm và cải thiện khả năng khạc đờm</w:t>
      </w:r>
      <w:r w:rsidR="00D87EAB" w:rsidRPr="009B5E58">
        <w:rPr>
          <w:rFonts w:ascii="Times New Roman" w:eastAsia="Times New Roman" w:hAnsi="Times New Roman" w:cs="Times New Roman"/>
          <w:sz w:val="26"/>
          <w:szCs w:val="26"/>
        </w:rPr>
        <w:t xml:space="preserve"> được chỉ định khi bệnh nhân bị ho dữ dội, không hiệu quả, làm trầm trọng thêm tình trạng của bệnh nhân. </w:t>
      </w:r>
      <w:r w:rsidR="00D87EAB" w:rsidRPr="009B5E58">
        <w:rPr>
          <w:rFonts w:ascii="Times New Roman" w:eastAsia="Times New Roman" w:hAnsi="Times New Roman" w:cs="Times New Roman"/>
          <w:bCs/>
          <w:sz w:val="26"/>
          <w:szCs w:val="26"/>
        </w:rPr>
        <w:t>Ambroxol</w:t>
      </w:r>
      <w:r w:rsidR="00D87EAB" w:rsidRPr="009B5E58">
        <w:rPr>
          <w:rFonts w:ascii="Times New Roman" w:eastAsia="Times New Roman" w:hAnsi="Times New Roman" w:cs="Times New Roman"/>
          <w:sz w:val="26"/>
          <w:szCs w:val="26"/>
        </w:rPr>
        <w:t xml:space="preserve"> đã được chứng minh là tăng cường sự thâm nhập của kháng sinh (amoxicillin) vào nhu mô phổi và kích thích tổng hợp chất hoạt động bề mặt (surfactant). Ở trẻ em 5–6 tuổi, thuốc được sử dụng ở liều 7.5 mg 3 lần một ngày, trên 6 tuổi – </w:t>
      </w:r>
      <w:r>
        <w:rPr>
          <w:rFonts w:ascii="Times New Roman" w:eastAsia="Times New Roman" w:hAnsi="Times New Roman" w:cs="Times New Roman"/>
          <w:sz w:val="26"/>
          <w:szCs w:val="26"/>
        </w:rPr>
        <w:t>15 mg 3 lần một ngày</w:t>
      </w:r>
      <w:r w:rsidR="00D87EAB" w:rsidRPr="009B5E58">
        <w:rPr>
          <w:rFonts w:ascii="Times New Roman" w:eastAsia="Times New Roman" w:hAnsi="Times New Roman" w:cs="Times New Roman"/>
          <w:sz w:val="26"/>
          <w:szCs w:val="26"/>
        </w:rPr>
        <w:t>.</w:t>
      </w:r>
      <w:r w:rsidR="000D2DA2">
        <w:rPr>
          <w:rFonts w:ascii="Times New Roman" w:eastAsia="Times New Roman" w:hAnsi="Times New Roman" w:cs="Times New Roman"/>
          <w:sz w:val="26"/>
          <w:szCs w:val="26"/>
        </w:rPr>
        <w:t xml:space="preserve"> </w:t>
      </w:r>
      <w:r w:rsidR="00D87EAB" w:rsidRPr="009B5E58">
        <w:rPr>
          <w:rFonts w:ascii="Times New Roman" w:eastAsia="Times New Roman" w:hAnsi="Times New Roman" w:cs="Times New Roman"/>
          <w:sz w:val="26"/>
          <w:szCs w:val="26"/>
        </w:rPr>
        <w:t xml:space="preserve">Việc sử dụng </w:t>
      </w:r>
      <w:r w:rsidR="00D87EAB" w:rsidRPr="009B5E58">
        <w:rPr>
          <w:rFonts w:ascii="Times New Roman" w:eastAsia="Times New Roman" w:hAnsi="Times New Roman" w:cs="Times New Roman"/>
          <w:bCs/>
          <w:sz w:val="26"/>
          <w:szCs w:val="26"/>
        </w:rPr>
        <w:t>thuốc giãn phế quản</w:t>
      </w:r>
      <w:r w:rsidR="00D87EAB" w:rsidRPr="009B5E58">
        <w:rPr>
          <w:rFonts w:ascii="Times New Roman" w:eastAsia="Times New Roman" w:hAnsi="Times New Roman" w:cs="Times New Roman"/>
          <w:sz w:val="26"/>
          <w:szCs w:val="26"/>
        </w:rPr>
        <w:t xml:space="preserve"> được chỉ định khi có kèm hội chứng tắc nghẽn phế quản hoặc trong trường hợp viêm phổi ở bệnh nhân hen phế quản, cũng như trong một số bệnh do vi rút. Khuyến nghị sử dụng </w:t>
      </w:r>
      <w:r w:rsidR="00D87EAB" w:rsidRPr="009B5E58">
        <w:rPr>
          <w:rFonts w:ascii="Times New Roman" w:eastAsia="Times New Roman" w:hAnsi="Times New Roman" w:cs="Times New Roman"/>
          <w:bCs/>
          <w:sz w:val="26"/>
          <w:szCs w:val="26"/>
        </w:rPr>
        <w:t>chấ</w:t>
      </w:r>
      <w:r>
        <w:rPr>
          <w:rFonts w:ascii="Times New Roman" w:eastAsia="Times New Roman" w:hAnsi="Times New Roman" w:cs="Times New Roman"/>
          <w:bCs/>
          <w:sz w:val="26"/>
          <w:szCs w:val="26"/>
        </w:rPr>
        <w:t xml:space="preserve">t chủ </w:t>
      </w:r>
      <w:r>
        <w:rPr>
          <w:rFonts w:ascii="Times New Roman" w:eastAsia="Times New Roman" w:hAnsi="Times New Roman" w:cs="Times New Roman"/>
          <w:bCs/>
          <w:sz w:val="26"/>
          <w:szCs w:val="26"/>
        </w:rPr>
        <w:lastRenderedPageBreak/>
        <w:t>vận β2</w:t>
      </w:r>
      <w:r w:rsidR="00D87EAB" w:rsidRPr="009B5E58">
        <w:rPr>
          <w:rFonts w:ascii="Times New Roman" w:eastAsia="Times New Roman" w:hAnsi="Times New Roman" w:cs="Times New Roman"/>
          <w:bCs/>
          <w:sz w:val="26"/>
          <w:szCs w:val="26"/>
        </w:rPr>
        <w:t xml:space="preserve"> tác dụng ngắn</w:t>
      </w:r>
      <w:r w:rsidR="00D87EAB" w:rsidRPr="009B5E58">
        <w:rPr>
          <w:rFonts w:ascii="Times New Roman" w:eastAsia="Times New Roman" w:hAnsi="Times New Roman" w:cs="Times New Roman"/>
          <w:sz w:val="26"/>
          <w:szCs w:val="26"/>
        </w:rPr>
        <w:t xml:space="preserve"> đơn trị liệu (salbutamol) hoặc là một phần của các loại thuốc kết hợp (berodual). Thời gian điều trị được xác định bởi các</w:t>
      </w:r>
      <w:r>
        <w:rPr>
          <w:rFonts w:ascii="Times New Roman" w:eastAsia="Times New Roman" w:hAnsi="Times New Roman" w:cs="Times New Roman"/>
          <w:sz w:val="26"/>
          <w:szCs w:val="26"/>
        </w:rPr>
        <w:t xml:space="preserve"> triệu chứng lâm sàng</w:t>
      </w:r>
      <w:r w:rsidR="00D87EAB" w:rsidRPr="009B5E58">
        <w:rPr>
          <w:rFonts w:ascii="Times New Roman" w:eastAsia="Times New Roman" w:hAnsi="Times New Roman" w:cs="Times New Roman"/>
          <w:sz w:val="26"/>
          <w:szCs w:val="26"/>
        </w:rPr>
        <w:t>.</w:t>
      </w:r>
    </w:p>
    <w:p w:rsidR="00D87EAB" w:rsidRPr="009B5E58" w:rsidRDefault="009B5E58" w:rsidP="00D87EAB">
      <w:r>
        <w:rPr>
          <w:rFonts w:ascii="Times New Roman" w:eastAsia="Times New Roman" w:hAnsi="Times New Roman" w:cs="Times New Roman"/>
          <w:sz w:val="26"/>
          <w:szCs w:val="26"/>
        </w:rPr>
        <w:t xml:space="preserve">        </w:t>
      </w:r>
      <w:r w:rsidR="00D87EAB" w:rsidRPr="009B5E58">
        <w:rPr>
          <w:rFonts w:ascii="Times New Roman" w:eastAsia="Times New Roman" w:hAnsi="Times New Roman" w:cs="Times New Roman"/>
          <w:sz w:val="26"/>
          <w:szCs w:val="26"/>
        </w:rPr>
        <w:t xml:space="preserve">Khi đưa ra chẩn đoán viêm phổi, cần phải phản ánh các yếu tố sau: </w:t>
      </w:r>
      <w:r w:rsidR="00D87EAB" w:rsidRPr="009B5E58">
        <w:rPr>
          <w:rFonts w:ascii="Times New Roman" w:eastAsia="Times New Roman" w:hAnsi="Times New Roman" w:cs="Times New Roman"/>
          <w:bCs/>
          <w:sz w:val="26"/>
          <w:szCs w:val="26"/>
        </w:rPr>
        <w:t>thể bệnh</w:t>
      </w:r>
      <w:r w:rsidR="00D87EAB" w:rsidRPr="009B5E58">
        <w:rPr>
          <w:rFonts w:ascii="Times New Roman" w:eastAsia="Times New Roman" w:hAnsi="Times New Roman" w:cs="Times New Roman"/>
          <w:sz w:val="26"/>
          <w:szCs w:val="26"/>
        </w:rPr>
        <w:t xml:space="preserve"> với chỉ định căn nguyên (giả định, đã xác minh); </w:t>
      </w:r>
      <w:r w:rsidR="00D87EAB" w:rsidRPr="009B5E58">
        <w:rPr>
          <w:rFonts w:ascii="Times New Roman" w:eastAsia="Times New Roman" w:hAnsi="Times New Roman" w:cs="Times New Roman"/>
          <w:bCs/>
          <w:sz w:val="26"/>
          <w:szCs w:val="26"/>
        </w:rPr>
        <w:t>vị trí và mức độ lan rộng</w:t>
      </w:r>
      <w:r w:rsidR="00D87EAB" w:rsidRPr="009B5E58">
        <w:rPr>
          <w:rFonts w:ascii="Times New Roman" w:eastAsia="Times New Roman" w:hAnsi="Times New Roman" w:cs="Times New Roman"/>
          <w:sz w:val="26"/>
          <w:szCs w:val="26"/>
        </w:rPr>
        <w:t xml:space="preserve"> của viêm phổi; </w:t>
      </w:r>
      <w:r w:rsidR="00D87EAB" w:rsidRPr="009B5E58">
        <w:rPr>
          <w:rFonts w:ascii="Times New Roman" w:eastAsia="Times New Roman" w:hAnsi="Times New Roman" w:cs="Times New Roman"/>
          <w:bCs/>
          <w:sz w:val="26"/>
          <w:szCs w:val="26"/>
        </w:rPr>
        <w:t>mức độ nghiêm trọng</w:t>
      </w:r>
      <w:r w:rsidR="00D87EAB" w:rsidRPr="009B5E58">
        <w:rPr>
          <w:rFonts w:ascii="Times New Roman" w:eastAsia="Times New Roman" w:hAnsi="Times New Roman" w:cs="Times New Roman"/>
          <w:sz w:val="26"/>
          <w:szCs w:val="26"/>
        </w:rPr>
        <w:t xml:space="preserve"> của viêm phổi; sự hiện diện của </w:t>
      </w:r>
      <w:r w:rsidR="00D87EAB" w:rsidRPr="009B5E58">
        <w:rPr>
          <w:rFonts w:ascii="Times New Roman" w:eastAsia="Times New Roman" w:hAnsi="Times New Roman" w:cs="Times New Roman"/>
          <w:bCs/>
          <w:sz w:val="26"/>
          <w:szCs w:val="26"/>
        </w:rPr>
        <w:t>biến chứng</w:t>
      </w:r>
      <w:r w:rsidR="00D87EAB" w:rsidRPr="009B5E58">
        <w:rPr>
          <w:rFonts w:ascii="Times New Roman" w:eastAsia="Times New Roman" w:hAnsi="Times New Roman" w:cs="Times New Roman"/>
          <w:sz w:val="26"/>
          <w:szCs w:val="26"/>
        </w:rPr>
        <w:t xml:space="preserve"> (phổi và ngoài phổi); </w:t>
      </w:r>
      <w:r w:rsidR="00D87EAB" w:rsidRPr="009B5E58">
        <w:rPr>
          <w:rFonts w:ascii="Times New Roman" w:eastAsia="Times New Roman" w:hAnsi="Times New Roman" w:cs="Times New Roman"/>
          <w:bCs/>
          <w:sz w:val="26"/>
          <w:szCs w:val="26"/>
        </w:rPr>
        <w:t>bệnh kèm theo</w:t>
      </w:r>
      <w:r w:rsidR="00D87EAB" w:rsidRPr="009B5E58">
        <w:rPr>
          <w:rFonts w:ascii="Times New Roman" w:eastAsia="Times New Roman" w:hAnsi="Times New Roman" w:cs="Times New Roman"/>
          <w:sz w:val="26"/>
          <w:szCs w:val="26"/>
        </w:rPr>
        <w:t xml:space="preserve">. Ví dụ: 1) Viêm phổi mắc phải cộng đồng (do phế cầu), thể thùy, thùy trên bên phải, mức độ vừa; 2) Viêm phổi mắc phải cộng đồng, do </w:t>
      </w:r>
      <w:r w:rsidR="00D87EAB" w:rsidRPr="009B5E58">
        <w:rPr>
          <w:rFonts w:ascii="Times New Roman" w:eastAsia="Times New Roman" w:hAnsi="Times New Roman" w:cs="Times New Roman"/>
          <w:i/>
          <w:iCs/>
          <w:sz w:val="26"/>
          <w:szCs w:val="26"/>
        </w:rPr>
        <w:t>mycoplasma</w:t>
      </w:r>
      <w:r w:rsidR="00D87EAB" w:rsidRPr="009B5E58">
        <w:rPr>
          <w:rFonts w:ascii="Times New Roman" w:eastAsia="Times New Roman" w:hAnsi="Times New Roman" w:cs="Times New Roman"/>
          <w:sz w:val="26"/>
          <w:szCs w:val="26"/>
        </w:rPr>
        <w:t>, thể phân thùy hai bên (phân thùy 2, 3) của phổi phải và (phân thùy 4, 5, 6) của phổi trái, mức độ nặng.</w:t>
      </w:r>
    </w:p>
    <w:p w:rsidR="00414C1A" w:rsidRPr="00923F05" w:rsidRDefault="00414C1A" w:rsidP="00493931">
      <w:pPr>
        <w:spacing w:before="120" w:after="0" w:line="300" w:lineRule="auto"/>
        <w:jc w:val="both"/>
        <w:rPr>
          <w:rFonts w:ascii="Times New Roman" w:eastAsia="Times New Roman" w:hAnsi="Times New Roman" w:cs="Times New Roman"/>
          <w:sz w:val="26"/>
          <w:szCs w:val="26"/>
        </w:rPr>
      </w:pPr>
      <w:r w:rsidRPr="00923F05">
        <w:rPr>
          <w:rFonts w:ascii="Times New Roman" w:eastAsia="Times New Roman" w:hAnsi="Times New Roman" w:cs="Times New Roman"/>
          <w:sz w:val="26"/>
          <w:szCs w:val="26"/>
        </w:rPr>
        <w:t>Người viết bài: Ths. Trịnh Thị Loan</w:t>
      </w:r>
    </w:p>
    <w:p w:rsidR="00414C1A" w:rsidRPr="00923F05" w:rsidRDefault="00414C1A" w:rsidP="00430EFF">
      <w:pPr>
        <w:spacing w:after="0" w:line="300" w:lineRule="auto"/>
        <w:jc w:val="both"/>
        <w:rPr>
          <w:rFonts w:ascii="Times New Roman" w:eastAsia="Times New Roman" w:hAnsi="Times New Roman" w:cs="Times New Roman"/>
          <w:sz w:val="26"/>
          <w:szCs w:val="26"/>
        </w:rPr>
      </w:pPr>
      <w:r w:rsidRPr="00923F05">
        <w:rPr>
          <w:rFonts w:ascii="Times New Roman" w:eastAsia="Times New Roman" w:hAnsi="Times New Roman" w:cs="Times New Roman"/>
          <w:sz w:val="26"/>
          <w:szCs w:val="26"/>
        </w:rPr>
        <w:t>Người duyệt bài: Ths. Nguyễn Thị Thùy Trang</w:t>
      </w:r>
    </w:p>
    <w:p w:rsidR="00414C1A" w:rsidRPr="00923F05" w:rsidRDefault="00414C1A" w:rsidP="00430EFF">
      <w:pPr>
        <w:spacing w:after="0" w:line="300" w:lineRule="auto"/>
        <w:jc w:val="both"/>
        <w:rPr>
          <w:rFonts w:ascii="Times New Roman" w:eastAsia="Times New Roman" w:hAnsi="Times New Roman" w:cs="Times New Roman"/>
          <w:color w:val="222222"/>
          <w:sz w:val="26"/>
          <w:szCs w:val="26"/>
        </w:rPr>
      </w:pPr>
      <w:r w:rsidRPr="00923F05">
        <w:rPr>
          <w:rFonts w:ascii="Times New Roman" w:eastAsia="Times New Roman" w:hAnsi="Times New Roman" w:cs="Times New Roman"/>
          <w:sz w:val="26"/>
          <w:szCs w:val="26"/>
        </w:rPr>
        <w:t>Nguồn báo:</w:t>
      </w:r>
    </w:p>
    <w:p w:rsidR="00414C1A" w:rsidRPr="00923F05" w:rsidRDefault="001C5BB4" w:rsidP="00430EFF">
      <w:pPr>
        <w:spacing w:after="0" w:line="300" w:lineRule="auto"/>
        <w:jc w:val="both"/>
        <w:rPr>
          <w:rFonts w:ascii="Times New Roman" w:hAnsi="Times New Roman" w:cs="Times New Roman"/>
          <w:sz w:val="26"/>
          <w:szCs w:val="26"/>
        </w:rPr>
      </w:pPr>
      <w:r w:rsidRPr="00923F05">
        <w:rPr>
          <w:rFonts w:ascii="Times New Roman" w:hAnsi="Times New Roman" w:cs="Times New Roman"/>
          <w:sz w:val="26"/>
          <w:szCs w:val="26"/>
        </w:rPr>
        <w:t xml:space="preserve">   </w:t>
      </w:r>
      <w:hyperlink r:id="rId5" w:history="1">
        <w:r w:rsidR="00067A40" w:rsidRPr="00923F05">
          <w:rPr>
            <w:rStyle w:val="Hyperlink"/>
            <w:rFonts w:ascii="Times New Roman" w:hAnsi="Times New Roman" w:cs="Times New Roman"/>
            <w:sz w:val="26"/>
            <w:szCs w:val="26"/>
          </w:rPr>
          <w:t>https://pdfs.semanticscholar.org/fb7b/5aeb8e27dbd3c69f75479ae05d6bd877c3db.pdf</w:t>
        </w:r>
      </w:hyperlink>
    </w:p>
    <w:p w:rsidR="00067A40" w:rsidRPr="00923F05" w:rsidRDefault="00067A40" w:rsidP="00430EFF">
      <w:pPr>
        <w:spacing w:after="0" w:line="300" w:lineRule="auto"/>
        <w:jc w:val="both"/>
        <w:rPr>
          <w:rFonts w:ascii="Times New Roman" w:eastAsia="Times New Roman" w:hAnsi="Times New Roman" w:cs="Times New Roman"/>
          <w:color w:val="222222"/>
          <w:sz w:val="26"/>
          <w:szCs w:val="26"/>
        </w:rPr>
      </w:pPr>
    </w:p>
    <w:p w:rsidR="006A6AB1" w:rsidRPr="00923F05" w:rsidRDefault="006A6AB1" w:rsidP="00430EFF">
      <w:pPr>
        <w:spacing w:after="0" w:line="300" w:lineRule="auto"/>
        <w:jc w:val="both"/>
        <w:rPr>
          <w:rFonts w:ascii="Times New Roman" w:hAnsi="Times New Roman" w:cs="Times New Roman"/>
          <w:sz w:val="26"/>
          <w:szCs w:val="26"/>
        </w:rPr>
      </w:pPr>
    </w:p>
    <w:sectPr w:rsidR="006A6AB1" w:rsidRPr="00923F05" w:rsidSect="009B5E58">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052"/>
    <w:multiLevelType w:val="multilevel"/>
    <w:tmpl w:val="A638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B12B7"/>
    <w:multiLevelType w:val="multilevel"/>
    <w:tmpl w:val="7668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E4888"/>
    <w:multiLevelType w:val="multilevel"/>
    <w:tmpl w:val="9718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43DEA"/>
    <w:multiLevelType w:val="multilevel"/>
    <w:tmpl w:val="1360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0507"/>
    <w:multiLevelType w:val="hybridMultilevel"/>
    <w:tmpl w:val="FA38D9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0D0DDF"/>
    <w:multiLevelType w:val="multilevel"/>
    <w:tmpl w:val="9DB46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F15DE"/>
    <w:multiLevelType w:val="hybridMultilevel"/>
    <w:tmpl w:val="50F2B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D038DE"/>
    <w:multiLevelType w:val="multilevel"/>
    <w:tmpl w:val="A35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123B"/>
    <w:multiLevelType w:val="hybridMultilevel"/>
    <w:tmpl w:val="0F629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1"/>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1A"/>
    <w:rsid w:val="00041664"/>
    <w:rsid w:val="00067A40"/>
    <w:rsid w:val="000D2DA2"/>
    <w:rsid w:val="001232AC"/>
    <w:rsid w:val="00124D03"/>
    <w:rsid w:val="001C5BB4"/>
    <w:rsid w:val="002B4176"/>
    <w:rsid w:val="003526DC"/>
    <w:rsid w:val="003B0468"/>
    <w:rsid w:val="00414C1A"/>
    <w:rsid w:val="00430EFF"/>
    <w:rsid w:val="00431D58"/>
    <w:rsid w:val="00493931"/>
    <w:rsid w:val="00570C11"/>
    <w:rsid w:val="005D74A8"/>
    <w:rsid w:val="006A6AB1"/>
    <w:rsid w:val="00923F05"/>
    <w:rsid w:val="009B5E58"/>
    <w:rsid w:val="00AA2B0B"/>
    <w:rsid w:val="00AB512E"/>
    <w:rsid w:val="00BD56E1"/>
    <w:rsid w:val="00C70427"/>
    <w:rsid w:val="00CD7677"/>
    <w:rsid w:val="00D436BB"/>
    <w:rsid w:val="00D87EAB"/>
    <w:rsid w:val="00F1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8CBC"/>
  <w15:chartTrackingRefBased/>
  <w15:docId w15:val="{04F5C71A-9EA5-43D1-8698-563A76AF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C1A"/>
    <w:rPr>
      <w:color w:val="0563C1" w:themeColor="hyperlink"/>
      <w:u w:val="single"/>
    </w:rPr>
  </w:style>
  <w:style w:type="paragraph" w:styleId="NormalWeb">
    <w:name w:val="Normal (Web)"/>
    <w:basedOn w:val="Normal"/>
    <w:uiPriority w:val="99"/>
    <w:unhideWhenUsed/>
    <w:rsid w:val="00414C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5BB4"/>
    <w:pPr>
      <w:ind w:left="720"/>
      <w:contextualSpacing/>
    </w:pPr>
  </w:style>
  <w:style w:type="character" w:styleId="Strong">
    <w:name w:val="Strong"/>
    <w:basedOn w:val="DefaultParagraphFont"/>
    <w:uiPriority w:val="22"/>
    <w:qFormat/>
    <w:rsid w:val="00124D03"/>
    <w:rPr>
      <w:b/>
      <w:bCs/>
    </w:rPr>
  </w:style>
  <w:style w:type="character" w:styleId="FollowedHyperlink">
    <w:name w:val="FollowedHyperlink"/>
    <w:basedOn w:val="DefaultParagraphFont"/>
    <w:uiPriority w:val="99"/>
    <w:semiHidden/>
    <w:unhideWhenUsed/>
    <w:rsid w:val="001232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0151">
      <w:bodyDiv w:val="1"/>
      <w:marLeft w:val="0"/>
      <w:marRight w:val="0"/>
      <w:marTop w:val="0"/>
      <w:marBottom w:val="0"/>
      <w:divBdr>
        <w:top w:val="none" w:sz="0" w:space="0" w:color="auto"/>
        <w:left w:val="none" w:sz="0" w:space="0" w:color="auto"/>
        <w:bottom w:val="none" w:sz="0" w:space="0" w:color="auto"/>
        <w:right w:val="none" w:sz="0" w:space="0" w:color="auto"/>
      </w:divBdr>
    </w:div>
    <w:div w:id="331496636">
      <w:bodyDiv w:val="1"/>
      <w:marLeft w:val="0"/>
      <w:marRight w:val="0"/>
      <w:marTop w:val="0"/>
      <w:marBottom w:val="0"/>
      <w:divBdr>
        <w:top w:val="none" w:sz="0" w:space="0" w:color="auto"/>
        <w:left w:val="none" w:sz="0" w:space="0" w:color="auto"/>
        <w:bottom w:val="none" w:sz="0" w:space="0" w:color="auto"/>
        <w:right w:val="none" w:sz="0" w:space="0" w:color="auto"/>
      </w:divBdr>
    </w:div>
    <w:div w:id="460077574">
      <w:bodyDiv w:val="1"/>
      <w:marLeft w:val="0"/>
      <w:marRight w:val="0"/>
      <w:marTop w:val="0"/>
      <w:marBottom w:val="0"/>
      <w:divBdr>
        <w:top w:val="none" w:sz="0" w:space="0" w:color="auto"/>
        <w:left w:val="none" w:sz="0" w:space="0" w:color="auto"/>
        <w:bottom w:val="none" w:sz="0" w:space="0" w:color="auto"/>
        <w:right w:val="none" w:sz="0" w:space="0" w:color="auto"/>
      </w:divBdr>
    </w:div>
    <w:div w:id="541983707">
      <w:bodyDiv w:val="1"/>
      <w:marLeft w:val="0"/>
      <w:marRight w:val="0"/>
      <w:marTop w:val="0"/>
      <w:marBottom w:val="0"/>
      <w:divBdr>
        <w:top w:val="none" w:sz="0" w:space="0" w:color="auto"/>
        <w:left w:val="none" w:sz="0" w:space="0" w:color="auto"/>
        <w:bottom w:val="none" w:sz="0" w:space="0" w:color="auto"/>
        <w:right w:val="none" w:sz="0" w:space="0" w:color="auto"/>
      </w:divBdr>
    </w:div>
    <w:div w:id="739988764">
      <w:bodyDiv w:val="1"/>
      <w:marLeft w:val="0"/>
      <w:marRight w:val="0"/>
      <w:marTop w:val="0"/>
      <w:marBottom w:val="0"/>
      <w:divBdr>
        <w:top w:val="none" w:sz="0" w:space="0" w:color="auto"/>
        <w:left w:val="none" w:sz="0" w:space="0" w:color="auto"/>
        <w:bottom w:val="none" w:sz="0" w:space="0" w:color="auto"/>
        <w:right w:val="none" w:sz="0" w:space="0" w:color="auto"/>
      </w:divBdr>
    </w:div>
    <w:div w:id="808938366">
      <w:bodyDiv w:val="1"/>
      <w:marLeft w:val="0"/>
      <w:marRight w:val="0"/>
      <w:marTop w:val="0"/>
      <w:marBottom w:val="0"/>
      <w:divBdr>
        <w:top w:val="none" w:sz="0" w:space="0" w:color="auto"/>
        <w:left w:val="none" w:sz="0" w:space="0" w:color="auto"/>
        <w:bottom w:val="none" w:sz="0" w:space="0" w:color="auto"/>
        <w:right w:val="none" w:sz="0" w:space="0" w:color="auto"/>
      </w:divBdr>
    </w:div>
    <w:div w:id="870262403">
      <w:bodyDiv w:val="1"/>
      <w:marLeft w:val="0"/>
      <w:marRight w:val="0"/>
      <w:marTop w:val="0"/>
      <w:marBottom w:val="0"/>
      <w:divBdr>
        <w:top w:val="none" w:sz="0" w:space="0" w:color="auto"/>
        <w:left w:val="none" w:sz="0" w:space="0" w:color="auto"/>
        <w:bottom w:val="none" w:sz="0" w:space="0" w:color="auto"/>
        <w:right w:val="none" w:sz="0" w:space="0" w:color="auto"/>
      </w:divBdr>
    </w:div>
    <w:div w:id="1011641972">
      <w:bodyDiv w:val="1"/>
      <w:marLeft w:val="0"/>
      <w:marRight w:val="0"/>
      <w:marTop w:val="0"/>
      <w:marBottom w:val="0"/>
      <w:divBdr>
        <w:top w:val="none" w:sz="0" w:space="0" w:color="auto"/>
        <w:left w:val="none" w:sz="0" w:space="0" w:color="auto"/>
        <w:bottom w:val="none" w:sz="0" w:space="0" w:color="auto"/>
        <w:right w:val="none" w:sz="0" w:space="0" w:color="auto"/>
      </w:divBdr>
    </w:div>
    <w:div w:id="1138498074">
      <w:bodyDiv w:val="1"/>
      <w:marLeft w:val="0"/>
      <w:marRight w:val="0"/>
      <w:marTop w:val="0"/>
      <w:marBottom w:val="0"/>
      <w:divBdr>
        <w:top w:val="none" w:sz="0" w:space="0" w:color="auto"/>
        <w:left w:val="none" w:sz="0" w:space="0" w:color="auto"/>
        <w:bottom w:val="none" w:sz="0" w:space="0" w:color="auto"/>
        <w:right w:val="none" w:sz="0" w:space="0" w:color="auto"/>
      </w:divBdr>
    </w:div>
    <w:div w:id="1316183452">
      <w:bodyDiv w:val="1"/>
      <w:marLeft w:val="0"/>
      <w:marRight w:val="0"/>
      <w:marTop w:val="0"/>
      <w:marBottom w:val="0"/>
      <w:divBdr>
        <w:top w:val="none" w:sz="0" w:space="0" w:color="auto"/>
        <w:left w:val="none" w:sz="0" w:space="0" w:color="auto"/>
        <w:bottom w:val="none" w:sz="0" w:space="0" w:color="auto"/>
        <w:right w:val="none" w:sz="0" w:space="0" w:color="auto"/>
      </w:divBdr>
    </w:div>
    <w:div w:id="1491558096">
      <w:bodyDiv w:val="1"/>
      <w:marLeft w:val="0"/>
      <w:marRight w:val="0"/>
      <w:marTop w:val="0"/>
      <w:marBottom w:val="0"/>
      <w:divBdr>
        <w:top w:val="none" w:sz="0" w:space="0" w:color="auto"/>
        <w:left w:val="none" w:sz="0" w:space="0" w:color="auto"/>
        <w:bottom w:val="none" w:sz="0" w:space="0" w:color="auto"/>
        <w:right w:val="none" w:sz="0" w:space="0" w:color="auto"/>
      </w:divBdr>
    </w:div>
    <w:div w:id="1591045016">
      <w:bodyDiv w:val="1"/>
      <w:marLeft w:val="0"/>
      <w:marRight w:val="0"/>
      <w:marTop w:val="0"/>
      <w:marBottom w:val="0"/>
      <w:divBdr>
        <w:top w:val="none" w:sz="0" w:space="0" w:color="auto"/>
        <w:left w:val="none" w:sz="0" w:space="0" w:color="auto"/>
        <w:bottom w:val="none" w:sz="0" w:space="0" w:color="auto"/>
        <w:right w:val="none" w:sz="0" w:space="0" w:color="auto"/>
      </w:divBdr>
    </w:div>
    <w:div w:id="1877889948">
      <w:bodyDiv w:val="1"/>
      <w:marLeft w:val="0"/>
      <w:marRight w:val="0"/>
      <w:marTop w:val="0"/>
      <w:marBottom w:val="0"/>
      <w:divBdr>
        <w:top w:val="none" w:sz="0" w:space="0" w:color="auto"/>
        <w:left w:val="none" w:sz="0" w:space="0" w:color="auto"/>
        <w:bottom w:val="none" w:sz="0" w:space="0" w:color="auto"/>
        <w:right w:val="none" w:sz="0" w:space="0" w:color="auto"/>
      </w:divBdr>
    </w:div>
    <w:div w:id="1918901803">
      <w:bodyDiv w:val="1"/>
      <w:marLeft w:val="0"/>
      <w:marRight w:val="0"/>
      <w:marTop w:val="0"/>
      <w:marBottom w:val="0"/>
      <w:divBdr>
        <w:top w:val="none" w:sz="0" w:space="0" w:color="auto"/>
        <w:left w:val="none" w:sz="0" w:space="0" w:color="auto"/>
        <w:bottom w:val="none" w:sz="0" w:space="0" w:color="auto"/>
        <w:right w:val="none" w:sz="0" w:space="0" w:color="auto"/>
      </w:divBdr>
    </w:div>
    <w:div w:id="195293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dfs.semanticscholar.org/fb7b/5aeb8e27dbd3c69f75479ae05d6bd877c3d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2025-06-18T07:03:00Z</dcterms:created>
  <dcterms:modified xsi:type="dcterms:W3CDTF">2025-12-18T04:14:00Z</dcterms:modified>
</cp:coreProperties>
</file>