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C7" w:rsidRPr="00091D92" w:rsidRDefault="00F61AC7" w:rsidP="00F61AC7">
      <w:pPr>
        <w:pStyle w:val="Heading1"/>
      </w:pPr>
      <w:bookmarkStart w:id="0" w:name="_Toc443596490"/>
      <w:r w:rsidRPr="00091D92">
        <w:t>Chương 15. THUỐC HỆ TIÊU HÓA</w:t>
      </w:r>
      <w:bookmarkEnd w:id="0"/>
    </w:p>
    <w:p w:rsidR="00F61AC7" w:rsidRDefault="00F61AC7" w:rsidP="00F61AC7"/>
    <w:p w:rsidR="00F61AC7" w:rsidRDefault="00F61AC7" w:rsidP="00F6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MỤC TIÊU HỌC TẬP</w:t>
      </w:r>
    </w:p>
    <w:p w:rsidR="00F61AC7" w:rsidRPr="00482453" w:rsidRDefault="00F61AC7" w:rsidP="00F6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Trình bày</w:t>
      </w:r>
      <w:r w:rsidRPr="00482453">
        <w:t xml:space="preserve"> </w:t>
      </w:r>
      <w:r>
        <w:t xml:space="preserve">được </w:t>
      </w:r>
      <w:r w:rsidRPr="00482453">
        <w:t xml:space="preserve">các </w:t>
      </w:r>
      <w:r>
        <w:t>nhóm thuốc điều trị loét dạ dày – tá tràng</w:t>
      </w:r>
      <w:r w:rsidRPr="00482453">
        <w:t xml:space="preserve"> và vai trò mỗi nhóm thuốc trong điều trị.</w:t>
      </w:r>
    </w:p>
    <w:p w:rsidR="00F61AC7" w:rsidRPr="00482453" w:rsidRDefault="00F61AC7" w:rsidP="00F6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Trình bày</w:t>
      </w:r>
      <w:r w:rsidRPr="00482453">
        <w:t xml:space="preserve"> được </w:t>
      </w:r>
      <w:r w:rsidRPr="002843FA">
        <w:rPr>
          <w:bCs/>
        </w:rPr>
        <w:t>chỉ định dùng</w:t>
      </w:r>
      <w:r w:rsidRPr="00482453">
        <w:rPr>
          <w:b/>
          <w:bCs/>
        </w:rPr>
        <w:t xml:space="preserve"> </w:t>
      </w:r>
      <w:r w:rsidRPr="00482453">
        <w:t xml:space="preserve">của các nhóm thuốc </w:t>
      </w:r>
      <w:r w:rsidRPr="00482453">
        <w:rPr>
          <w:i/>
          <w:iCs/>
        </w:rPr>
        <w:t>nhuận tràng và tẩy, các thuốc điều trị bệnh tiêu chảy, thuốc giúp tiêu hóa.</w:t>
      </w:r>
    </w:p>
    <w:p w:rsidR="00F61AC7" w:rsidRPr="00482453" w:rsidRDefault="00F61AC7" w:rsidP="00F6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Trình bày được công thức cấu tạo, tính chất</w:t>
      </w:r>
      <w:r w:rsidRPr="002843FA">
        <w:rPr>
          <w:bCs/>
        </w:rPr>
        <w:t xml:space="preserve"> lý hóa, định tính, định lượng</w:t>
      </w:r>
      <w:r w:rsidRPr="00482453">
        <w:rPr>
          <w:b/>
          <w:bCs/>
        </w:rPr>
        <w:t xml:space="preserve"> </w:t>
      </w:r>
      <w:r w:rsidRPr="00482453">
        <w:t xml:space="preserve">các thuốc: </w:t>
      </w:r>
      <w:r w:rsidRPr="00482453">
        <w:rPr>
          <w:i/>
          <w:iCs/>
        </w:rPr>
        <w:t>Nhôm hydroxyd gel; cimetidine, famotidine, ranitidine; omeprazole, pantoprazole; bismuth subsalicylat; bisacodyl; ORS (oresol); loperamid, diphenoxylat HCl; pancreatin.</w:t>
      </w:r>
    </w:p>
    <w:p w:rsidR="00F61AC7" w:rsidRPr="00482453" w:rsidRDefault="00F61AC7" w:rsidP="00F61AC7"/>
    <w:p w:rsidR="00F61AC7" w:rsidRPr="00C914BC" w:rsidRDefault="00F61AC7" w:rsidP="00F61AC7">
      <w:pPr>
        <w:pStyle w:val="Heading2"/>
      </w:pPr>
      <w:bookmarkStart w:id="1" w:name="_Toc443596491"/>
      <w:r w:rsidRPr="00C914BC">
        <w:t>THUỐC ĐIỀU TRỊ LOÉT DẠ DÀY-TÁ TRÀNG</w:t>
      </w:r>
      <w:bookmarkEnd w:id="1"/>
    </w:p>
    <w:p w:rsidR="00F61AC7" w:rsidRPr="00F37175" w:rsidRDefault="00F61AC7" w:rsidP="00F61AC7">
      <w:pPr>
        <w:pStyle w:val="Heading3"/>
      </w:pPr>
      <w:r>
        <w:t>1.1 Nguyên nhân gây loét DD - TT</w:t>
      </w:r>
      <w:r w:rsidRPr="00F37175">
        <w:t xml:space="preserve"> </w:t>
      </w:r>
    </w:p>
    <w:p w:rsidR="00F61AC7" w:rsidRPr="007F0369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7F0369">
        <w:rPr>
          <w:rFonts w:ascii="Times New Roman" w:hAnsi="Times New Roman"/>
          <w:szCs w:val="28"/>
        </w:rPr>
        <w:t xml:space="preserve">Tự phát: </w:t>
      </w:r>
      <w:r w:rsidRPr="005B24C3">
        <w:rPr>
          <w:rFonts w:ascii="Times New Roman" w:hAnsi="Times New Roman"/>
          <w:szCs w:val="28"/>
        </w:rPr>
        <w:t>Sự tăng tiết acid dịch dạ dày do nhiều nguyên nhân: Thần kinh căng thẳng, lao động trong điều kiện khắc nghiệt, yếu tố di truyền v.v…</w:t>
      </w:r>
    </w:p>
    <w:p w:rsidR="00F61AC7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7F0369">
        <w:rPr>
          <w:rFonts w:ascii="Times New Roman" w:hAnsi="Times New Roman"/>
          <w:szCs w:val="28"/>
        </w:rPr>
        <w:t>Do tác dụng phụ của thuốc</w:t>
      </w:r>
      <w:r>
        <w:rPr>
          <w:rFonts w:ascii="Times New Roman" w:hAnsi="Times New Roman"/>
          <w:szCs w:val="28"/>
        </w:rPr>
        <w:t xml:space="preserve">: </w:t>
      </w:r>
      <w:r w:rsidRPr="00F20190">
        <w:rPr>
          <w:rFonts w:ascii="Times New Roman" w:hAnsi="Times New Roman"/>
          <w:szCs w:val="28"/>
        </w:rPr>
        <w:t>Một số thuốc có tác dụng phụ gây loét dạ dày-tá tràng, điển hình là dùng thuốc corticoid, NSAID trong thời gian dài.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- </w:t>
      </w:r>
      <w:r w:rsidRPr="007F0369">
        <w:rPr>
          <w:rFonts w:ascii="Times New Roman" w:hAnsi="Times New Roman"/>
          <w:i/>
          <w:szCs w:val="28"/>
        </w:rPr>
        <w:t>Helicobacter pylori</w:t>
      </w:r>
      <w:r>
        <w:rPr>
          <w:rFonts w:ascii="Times New Roman" w:hAnsi="Times New Roman"/>
          <w:szCs w:val="28"/>
        </w:rPr>
        <w:t xml:space="preserve">: </w:t>
      </w:r>
      <w:r w:rsidRPr="00F20190">
        <w:rPr>
          <w:rFonts w:ascii="Times New Roman" w:hAnsi="Times New Roman"/>
          <w:szCs w:val="28"/>
        </w:rPr>
        <w:t xml:space="preserve">Cả 2 căn nguyên đều có nhiễm </w:t>
      </w:r>
      <w:r w:rsidRPr="007F0369">
        <w:rPr>
          <w:rFonts w:ascii="Times New Roman" w:hAnsi="Times New Roman"/>
          <w:i/>
          <w:szCs w:val="28"/>
        </w:rPr>
        <w:t>Helicobacter pylori</w:t>
      </w:r>
      <w:r w:rsidRPr="00F20190">
        <w:rPr>
          <w:rFonts w:ascii="Times New Roman" w:hAnsi="Times New Roman"/>
          <w:szCs w:val="28"/>
        </w:rPr>
        <w:t>, vi khuẩn tiết enzym phá huỷ lớp  màng nhầy tá tràng- dạ dày.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>(</w:t>
      </w:r>
      <w:r w:rsidRPr="007F0369">
        <w:rPr>
          <w:rFonts w:ascii="Times New Roman" w:hAnsi="Times New Roman"/>
          <w:i/>
          <w:szCs w:val="28"/>
        </w:rPr>
        <w:t>Helicobacter pylori</w:t>
      </w:r>
      <w:r w:rsidRPr="007F0369">
        <w:rPr>
          <w:rFonts w:ascii="Times New Roman" w:hAnsi="Times New Roman"/>
          <w:szCs w:val="28"/>
        </w:rPr>
        <w:t>,</w:t>
      </w:r>
      <w:r w:rsidRPr="00F20190">
        <w:rPr>
          <w:rFonts w:ascii="Times New Roman" w:hAnsi="Times New Roman"/>
          <w:szCs w:val="28"/>
        </w:rPr>
        <w:t xml:space="preserve"> viết tắt </w:t>
      </w:r>
      <w:r w:rsidRPr="007F0369">
        <w:rPr>
          <w:rFonts w:ascii="Times New Roman" w:hAnsi="Times New Roman"/>
          <w:i/>
          <w:szCs w:val="28"/>
        </w:rPr>
        <w:t>H. pylori</w:t>
      </w:r>
      <w:r w:rsidRPr="00F20190">
        <w:rPr>
          <w:rFonts w:ascii="Times New Roman" w:hAnsi="Times New Roman"/>
          <w:szCs w:val="28"/>
        </w:rPr>
        <w:t>, loại vi khuẩn yếm khí do 2 nhà khoa học Úc là Marshall và Warren phát hiện năm 1983)</w:t>
      </w:r>
    </w:p>
    <w:p w:rsidR="00F61AC7" w:rsidRPr="00F20190" w:rsidRDefault="00F61AC7" w:rsidP="00F61AC7">
      <w:pPr>
        <w:pStyle w:val="Heading3"/>
        <w:rPr>
          <w:lang w:val="fr-FR"/>
        </w:rPr>
      </w:pPr>
      <w:r>
        <w:rPr>
          <w:lang w:val="fr-FR"/>
        </w:rPr>
        <w:t>1.2. Điều trị loét DD - TT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 xml:space="preserve">Phối hợp 3 loại thuốc: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b/>
          <w:i/>
          <w:szCs w:val="28"/>
        </w:rPr>
        <w:t xml:space="preserve">     (1). Diệt H. pylori:</w:t>
      </w:r>
      <w:r w:rsidRPr="00F20190">
        <w:rPr>
          <w:rFonts w:ascii="Times New Roman" w:hAnsi="Times New Roman"/>
          <w:szCs w:val="28"/>
        </w:rPr>
        <w:t xml:space="preserve"> Amoxicillin, clarithromycin, thuốc d/c 5-nitroimidazol.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b/>
          <w:i/>
          <w:szCs w:val="28"/>
        </w:rPr>
      </w:pPr>
      <w:r w:rsidRPr="00F20190">
        <w:rPr>
          <w:rFonts w:ascii="Times New Roman" w:hAnsi="Times New Roman"/>
          <w:b/>
          <w:i/>
          <w:szCs w:val="28"/>
        </w:rPr>
        <w:t xml:space="preserve">     (2). Hạn chế tiết HCl dạ dày: 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 xml:space="preserve">     - Kháng histamin trên thụ thể H</w:t>
      </w:r>
      <w:r w:rsidRPr="00F20190">
        <w:rPr>
          <w:rFonts w:ascii="Times New Roman" w:hAnsi="Times New Roman"/>
          <w:szCs w:val="28"/>
          <w:vertAlign w:val="subscript"/>
        </w:rPr>
        <w:t>2</w:t>
      </w:r>
      <w:r w:rsidRPr="00F20190">
        <w:rPr>
          <w:rFonts w:ascii="Times New Roman" w:hAnsi="Times New Roman"/>
          <w:szCs w:val="28"/>
        </w:rPr>
        <w:t>: Cimetidin, famotidin...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 xml:space="preserve">     - Ức chế bơm proton: Omeprazol, lansoprazol,...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b/>
          <w:i/>
          <w:szCs w:val="28"/>
        </w:rPr>
        <w:t xml:space="preserve">     (3). Trung hòa acid và bao vết loét ở niêm mạc dạ dày:</w:t>
      </w:r>
      <w:r w:rsidRPr="00F20190">
        <w:rPr>
          <w:rFonts w:ascii="Times New Roman" w:hAnsi="Times New Roman"/>
          <w:szCs w:val="28"/>
        </w:rPr>
        <w:t xml:space="preserve"> Antacid, sucralfat...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>Thuốc (1) là đặc hiệu; thuốc (2) và (3) là thuốc hỗ trợ điều trị.</w:t>
      </w:r>
    </w:p>
    <w:p w:rsidR="00F61AC7" w:rsidRPr="00566879" w:rsidRDefault="00F61AC7" w:rsidP="00F61AC7">
      <w:pPr>
        <w:pStyle w:val="Heading3"/>
      </w:pPr>
      <w:r>
        <w:rPr>
          <w:szCs w:val="28"/>
          <w:lang w:val="fr-FR"/>
        </w:rPr>
        <w:t xml:space="preserve">1.3. </w:t>
      </w:r>
      <w:r>
        <w:t>Phác đồ điều trị loét DD – TT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b/>
          <w:szCs w:val="28"/>
        </w:rPr>
        <w:t>Công thức 1:</w:t>
      </w:r>
      <w:r w:rsidRPr="00F20190">
        <w:rPr>
          <w:rFonts w:ascii="Times New Roman" w:hAnsi="Times New Roman"/>
          <w:szCs w:val="28"/>
        </w:rPr>
        <w:t xml:space="preserve">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Amoxicillin: Uống 1.0 g/lần; 2 lần/24 h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Omeprazol: 20 mg/lần/24 h. Uống vào lúc 9-10 giờ đêm.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Gastropulgite (antacid): Uống 1 gói/lần; 1-2 lần/24 h.</w:t>
      </w:r>
    </w:p>
    <w:p w:rsidR="00F61AC7" w:rsidRPr="007F0369" w:rsidRDefault="00F61AC7" w:rsidP="00F61AC7">
      <w:pPr>
        <w:rPr>
          <w:rFonts w:ascii="Times New Roman" w:hAnsi="Times New Roman"/>
          <w:b/>
          <w:szCs w:val="28"/>
        </w:rPr>
      </w:pPr>
      <w:r w:rsidRPr="00F20190">
        <w:rPr>
          <w:rFonts w:ascii="Times New Roman" w:hAnsi="Times New Roman"/>
          <w:b/>
          <w:szCs w:val="28"/>
        </w:rPr>
        <w:t>Công thức 2: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Clarithromycin: Uống 500 mg/lần; 2 lần/24 h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Metronidazol: Uống 500 mg/lần; 2 lần/24 h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Omeprazol: 20 mg/lần/ngày. Uống vào lúc 9-10 giờ đêm.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ab/>
        <w:t>Gastropulgite (antacid): Uống 1 gói/lần; 1-2 lần/24 h.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b/>
          <w:i/>
          <w:szCs w:val="28"/>
        </w:rPr>
      </w:pPr>
      <w:r w:rsidRPr="00F20190">
        <w:rPr>
          <w:rFonts w:ascii="Times New Roman" w:hAnsi="Times New Roman"/>
          <w:b/>
          <w:i/>
          <w:szCs w:val="28"/>
        </w:rPr>
        <w:t xml:space="preserve">Đợt điều trị: 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</w:rPr>
      </w:pPr>
      <w:r w:rsidRPr="00F20190">
        <w:rPr>
          <w:rFonts w:ascii="Times New Roman" w:hAnsi="Times New Roman"/>
          <w:szCs w:val="28"/>
        </w:rPr>
        <w:t>- Thuốc kháng khuẩn và thuốc giảm tiết HCl: Uống đợt 21-28 ngày.</w:t>
      </w:r>
    </w:p>
    <w:p w:rsidR="00F61AC7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F20190">
        <w:rPr>
          <w:rFonts w:ascii="Times New Roman" w:hAnsi="Times New Roman"/>
          <w:szCs w:val="28"/>
          <w:lang w:val="fr-FR"/>
        </w:rPr>
        <w:t>- Antacid: Uống 7-10 ngày đầu đợt điều trị.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8"/>
          <w:lang w:val="fr-FR"/>
        </w:rPr>
      </w:pP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b/>
          <w:lang w:val="fr-FR"/>
        </w:rPr>
      </w:pPr>
      <w:r w:rsidRPr="00F20190">
        <w:rPr>
          <w:rFonts w:ascii="Times New Roman" w:hAnsi="Times New Roman"/>
          <w:b/>
          <w:lang w:val="fr-FR"/>
        </w:rPr>
        <w:t xml:space="preserve">Kit thuốc </w:t>
      </w:r>
      <w:r>
        <w:rPr>
          <w:rFonts w:ascii="Times New Roman" w:hAnsi="Times New Roman"/>
          <w:b/>
          <w:lang w:val="fr-FR"/>
        </w:rPr>
        <w:t>điều trị</w:t>
      </w:r>
      <w:r w:rsidRPr="00F20190">
        <w:rPr>
          <w:rFonts w:ascii="Times New Roman" w:hAnsi="Times New Roman"/>
          <w:b/>
          <w:lang w:val="fr-FR"/>
        </w:rPr>
        <w:t xml:space="preserve"> viêm loét dạ dày-tá tràng: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DC92" wp14:editId="18348790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0" cy="1250315"/>
                <wp:effectExtent l="13335" t="13335" r="5715" b="12700"/>
                <wp:wrapNone/>
                <wp:docPr id="26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25pt" to="207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">
                <v:stroke dashstyle="dash"/>
              </v:line>
            </w:pict>
          </mc:Fallback>
        </mc:AlternateContent>
      </w:r>
      <w:r w:rsidRPr="00F20190">
        <w:rPr>
          <w:rFonts w:ascii="Times New Roman" w:hAnsi="Times New Roman"/>
          <w:b/>
        </w:rPr>
        <w:t xml:space="preserve">   Bd. HAPYL</w:t>
      </w:r>
      <w:r w:rsidRPr="00F20190">
        <w:rPr>
          <w:rFonts w:ascii="Times New Roman" w:hAnsi="Times New Roman"/>
          <w:i/>
        </w:rPr>
        <w:t xml:space="preserve"> </w:t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  <w:t xml:space="preserve">     </w:t>
      </w:r>
      <w:r w:rsidRPr="00F20190">
        <w:rPr>
          <w:rFonts w:ascii="Times New Roman" w:hAnsi="Times New Roman"/>
        </w:rPr>
        <w:t xml:space="preserve">  </w:t>
      </w:r>
      <w:r w:rsidRPr="00F20190">
        <w:rPr>
          <w:rFonts w:ascii="Times New Roman" w:hAnsi="Times New Roman"/>
          <w:b/>
        </w:rPr>
        <w:t>Bd.</w:t>
      </w:r>
      <w:r w:rsidRPr="00F20190">
        <w:rPr>
          <w:rFonts w:ascii="Times New Roman" w:hAnsi="Times New Roman"/>
        </w:rPr>
        <w:t xml:space="preserve"> </w:t>
      </w:r>
      <w:r w:rsidRPr="00F20190">
        <w:rPr>
          <w:rFonts w:ascii="Times New Roman" w:hAnsi="Times New Roman"/>
          <w:b/>
        </w:rPr>
        <w:t>TROXIPE:</w:t>
      </w:r>
      <w:r w:rsidRPr="00F20190">
        <w:rPr>
          <w:rFonts w:ascii="Times New Roman" w:hAnsi="Times New Roman"/>
        </w:rPr>
        <w:t xml:space="preserve"> </w:t>
      </w:r>
      <w:r w:rsidRPr="00F20190">
        <w:rPr>
          <w:rFonts w:ascii="Times New Roman" w:hAnsi="Times New Roman"/>
          <w:i/>
        </w:rPr>
        <w:t>H. pylori</w:t>
      </w:r>
      <w:r w:rsidRPr="00F20190">
        <w:rPr>
          <w:rFonts w:ascii="Times New Roman" w:hAnsi="Times New Roman"/>
        </w:rPr>
        <w:t xml:space="preserve"> kit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  <w:i/>
        </w:rPr>
        <w:t xml:space="preserve">Mỗi vỉ có: </w:t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</w:r>
      <w:r w:rsidRPr="00F20190">
        <w:rPr>
          <w:rFonts w:ascii="Times New Roman" w:hAnsi="Times New Roman"/>
          <w:i/>
        </w:rPr>
        <w:tab/>
        <w:t>Mỗi vỉ có: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  Clarithromycin  250 mg   2 viên   </w:t>
      </w:r>
      <w:r w:rsidRPr="00F20190">
        <w:rPr>
          <w:rFonts w:ascii="Times New Roman" w:hAnsi="Times New Roman"/>
        </w:rPr>
        <w:tab/>
        <w:t xml:space="preserve"> Clarithromycin  250 mg     2 viên  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  Secnidazole 500 mg  </w:t>
      </w:r>
      <w:r w:rsidRPr="00F20190">
        <w:rPr>
          <w:rFonts w:ascii="Times New Roman" w:hAnsi="Times New Roman"/>
        </w:rPr>
        <w:tab/>
        <w:t xml:space="preserve">  2 viên</w:t>
      </w:r>
      <w:r w:rsidRPr="00F20190">
        <w:rPr>
          <w:rFonts w:ascii="Times New Roman" w:hAnsi="Times New Roman"/>
        </w:rPr>
        <w:tab/>
        <w:t xml:space="preserve"> Tinidazole 500 mg  </w:t>
      </w:r>
      <w:r w:rsidRPr="00F20190">
        <w:rPr>
          <w:rFonts w:ascii="Times New Roman" w:hAnsi="Times New Roman"/>
        </w:rPr>
        <w:tab/>
      </w:r>
      <w:r w:rsidRPr="00F20190">
        <w:rPr>
          <w:rFonts w:ascii="Times New Roman" w:hAnsi="Times New Roman"/>
        </w:rPr>
        <w:tab/>
        <w:t>2 viên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  Lansoprazol  30 mg   </w:t>
      </w:r>
      <w:r w:rsidRPr="00F20190">
        <w:rPr>
          <w:rFonts w:ascii="Times New Roman" w:hAnsi="Times New Roman"/>
        </w:rPr>
        <w:tab/>
        <w:t xml:space="preserve">  2 viên    </w:t>
      </w:r>
      <w:r w:rsidRPr="00F20190">
        <w:rPr>
          <w:rFonts w:ascii="Times New Roman" w:hAnsi="Times New Roman"/>
        </w:rPr>
        <w:tab/>
        <w:t xml:space="preserve"> Pantoprazole 40 mg  </w:t>
      </w:r>
      <w:r w:rsidRPr="00F20190">
        <w:rPr>
          <w:rFonts w:ascii="Times New Roman" w:hAnsi="Times New Roman"/>
        </w:rPr>
        <w:tab/>
        <w:t>2 viên</w:t>
      </w:r>
    </w:p>
    <w:p w:rsidR="00F61AC7" w:rsidRDefault="00F61AC7" w:rsidP="00F61AC7">
      <w:pPr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20190">
        <w:rPr>
          <w:rFonts w:ascii="Times New Roman" w:hAnsi="Times New Roman"/>
        </w:rPr>
        <w:t xml:space="preserve">  H</w:t>
      </w:r>
      <w:r>
        <w:rPr>
          <w:rFonts w:ascii="Times New Roman" w:hAnsi="Times New Roman"/>
        </w:rPr>
        <w:t>ộp 7 vỉ, mỗi ngày uống 1 vỉ.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F20190">
        <w:rPr>
          <w:rFonts w:ascii="Times New Roman" w:hAnsi="Times New Roman"/>
        </w:rPr>
        <w:t>Hộp 7 vỉ, mỗi ngày uống 1 vỉ.</w:t>
      </w:r>
    </w:p>
    <w:p w:rsidR="00F61AC7" w:rsidRPr="005B24C3" w:rsidRDefault="00F61AC7" w:rsidP="00F61AC7">
      <w:pPr>
        <w:pStyle w:val="Heading3"/>
      </w:pPr>
      <w:r>
        <w:t>1.4. Các nhóm thuốc điều trị loét dạ dày – tá tràng</w:t>
      </w:r>
    </w:p>
    <w:p w:rsidR="00F61AC7" w:rsidRPr="00F20190" w:rsidRDefault="00F61AC7" w:rsidP="00F61AC7">
      <w:pPr>
        <w:pStyle w:val="Heading4"/>
        <w:rPr>
          <w:lang w:val="fr-FR"/>
        </w:rPr>
      </w:pPr>
      <w:r>
        <w:rPr>
          <w:lang w:val="fr-FR"/>
        </w:rPr>
        <w:t xml:space="preserve">1.4.1. </w:t>
      </w:r>
      <w:r w:rsidRPr="00F20190">
        <w:rPr>
          <w:lang w:val="fr-FR"/>
        </w:rPr>
        <w:t xml:space="preserve">Antacid và thuốc bảo vệ niêm mạc dạ dày 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  <w:lang w:val="fr-FR"/>
        </w:rPr>
        <w:t xml:space="preserve"> </w:t>
      </w:r>
      <w:r w:rsidRPr="00F20190">
        <w:rPr>
          <w:rFonts w:ascii="Times New Roman" w:hAnsi="Times New Roman"/>
        </w:rPr>
        <w:t xml:space="preserve">- Hợp chất Al: Nhôm hydroxid, sucralfat, kaolin, đất sét v.v…  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- Hợp chất Mg: Mg(OH)</w:t>
      </w:r>
      <w:r w:rsidRPr="00F20190">
        <w:rPr>
          <w:rFonts w:ascii="Times New Roman" w:hAnsi="Times New Roman"/>
          <w:vertAlign w:val="subscript"/>
        </w:rPr>
        <w:t>2</w:t>
      </w:r>
      <w:r w:rsidRPr="00F20190">
        <w:rPr>
          <w:rFonts w:ascii="Times New Roman" w:hAnsi="Times New Roman"/>
        </w:rPr>
        <w:t>, MgCO</w:t>
      </w:r>
      <w:r w:rsidRPr="00F20190">
        <w:rPr>
          <w:rFonts w:ascii="Times New Roman" w:hAnsi="Times New Roman"/>
          <w:vertAlign w:val="subscript"/>
        </w:rPr>
        <w:t>3</w:t>
      </w:r>
      <w:r w:rsidRPr="00F20190">
        <w:rPr>
          <w:rFonts w:ascii="Times New Roman" w:hAnsi="Times New Roman"/>
        </w:rPr>
        <w:t>, MgO...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szCs w:val="26"/>
        </w:rPr>
      </w:pPr>
      <w:r w:rsidRPr="00F20190">
        <w:rPr>
          <w:rFonts w:ascii="Times New Roman" w:hAnsi="Times New Roman"/>
          <w:szCs w:val="26"/>
        </w:rPr>
        <w:t xml:space="preserve"> - Hỗn hợp Al và Mg: </w:t>
      </w:r>
      <w:r w:rsidRPr="00F20190">
        <w:rPr>
          <w:rFonts w:ascii="Times New Roman" w:hAnsi="Times New Roman"/>
          <w:bCs/>
          <w:szCs w:val="26"/>
        </w:rPr>
        <w:t>F-MA 11 (Al hydroxyd + MgCO</w:t>
      </w:r>
      <w:r w:rsidRPr="00F20190">
        <w:rPr>
          <w:rFonts w:ascii="Times New Roman" w:hAnsi="Times New Roman"/>
          <w:bCs/>
          <w:szCs w:val="26"/>
          <w:vertAlign w:val="subscript"/>
        </w:rPr>
        <w:t>3</w:t>
      </w:r>
      <w:r w:rsidRPr="00F20190">
        <w:rPr>
          <w:rFonts w:ascii="Times New Roman" w:hAnsi="Times New Roman"/>
          <w:bCs/>
          <w:szCs w:val="26"/>
        </w:rPr>
        <w:t>)  (Bd Kremil-S);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Magaldrat (Al, Mg hydroxid),… 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lang w:val="fr-FR"/>
        </w:rPr>
      </w:pPr>
      <w:r w:rsidRPr="00F20190">
        <w:rPr>
          <w:rFonts w:ascii="Times New Roman" w:hAnsi="Times New Roman"/>
        </w:rPr>
        <w:t xml:space="preserve"> </w:t>
      </w:r>
      <w:r w:rsidRPr="00F20190">
        <w:rPr>
          <w:rFonts w:ascii="Times New Roman" w:hAnsi="Times New Roman"/>
        </w:rPr>
        <w:tab/>
        <w:t xml:space="preserve"> </w:t>
      </w:r>
      <w:r w:rsidRPr="00F20190">
        <w:rPr>
          <w:rFonts w:ascii="Times New Roman" w:hAnsi="Times New Roman"/>
          <w:lang w:val="fr-FR"/>
        </w:rPr>
        <w:t>- Bismuth citrat (salicylat, subnitrat...); NaHCO</w:t>
      </w:r>
      <w:r w:rsidRPr="00F20190">
        <w:rPr>
          <w:rFonts w:ascii="Times New Roman" w:hAnsi="Times New Roman"/>
          <w:vertAlign w:val="subscript"/>
          <w:lang w:val="fr-FR"/>
        </w:rPr>
        <w:t>3</w:t>
      </w:r>
      <w:r w:rsidRPr="00F20190">
        <w:rPr>
          <w:rFonts w:ascii="Times New Roman" w:hAnsi="Times New Roman"/>
          <w:lang w:val="fr-FR"/>
        </w:rPr>
        <w:t>, CaCO</w:t>
      </w:r>
      <w:r w:rsidRPr="00F20190">
        <w:rPr>
          <w:rFonts w:ascii="Times New Roman" w:hAnsi="Times New Roman"/>
          <w:vertAlign w:val="subscript"/>
          <w:lang w:val="fr-FR"/>
        </w:rPr>
        <w:t>3</w:t>
      </w:r>
      <w:r w:rsidRPr="00F20190">
        <w:rPr>
          <w:rFonts w:ascii="Times New Roman" w:hAnsi="Times New Roman"/>
          <w:lang w:val="fr-FR"/>
        </w:rPr>
        <w:t xml:space="preserve">…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lang w:val="fr-FR"/>
        </w:rPr>
      </w:pPr>
      <w:r w:rsidRPr="00F20190">
        <w:rPr>
          <w:rFonts w:ascii="Times New Roman" w:hAnsi="Times New Roman"/>
          <w:b/>
          <w:i/>
          <w:lang w:val="fr-FR"/>
        </w:rPr>
        <w:t>Tác dụng:</w:t>
      </w:r>
      <w:r w:rsidRPr="00F20190">
        <w:rPr>
          <w:rFonts w:ascii="Times New Roman" w:hAnsi="Times New Roman"/>
          <w:lang w:val="fr-FR"/>
        </w:rPr>
        <w:t xml:space="preserve"> </w:t>
      </w:r>
    </w:p>
    <w:p w:rsidR="00F61AC7" w:rsidRPr="00F20190" w:rsidRDefault="00F61AC7" w:rsidP="00F61AC7">
      <w:pPr>
        <w:spacing w:line="264" w:lineRule="auto"/>
        <w:ind w:firstLine="720"/>
        <w:jc w:val="both"/>
        <w:rPr>
          <w:rFonts w:ascii="Times New Roman" w:hAnsi="Times New Roman"/>
          <w:lang w:val="fr-FR"/>
        </w:rPr>
      </w:pPr>
      <w:r w:rsidRPr="00F20190">
        <w:rPr>
          <w:rFonts w:ascii="Times New Roman" w:hAnsi="Times New Roman"/>
          <w:lang w:val="fr-FR"/>
        </w:rPr>
        <w:t>- Tính kiềm, trung hoà acid dịch vị; làm se niêm mạc.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lang w:val="fr-FR"/>
        </w:rPr>
      </w:pPr>
      <w:r w:rsidRPr="00F20190">
        <w:rPr>
          <w:rFonts w:ascii="Times New Roman" w:hAnsi="Times New Roman"/>
          <w:lang w:val="fr-FR"/>
        </w:rPr>
        <w:t xml:space="preserve"> </w:t>
      </w:r>
      <w:r w:rsidRPr="00F20190">
        <w:rPr>
          <w:rFonts w:ascii="Times New Roman" w:hAnsi="Times New Roman"/>
          <w:lang w:val="fr-FR"/>
        </w:rPr>
        <w:tab/>
        <w:t>- Sucralfat: Kết hợp với protein ở vết loét tạo lớp bao bảo vệ.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b/>
          <w:i/>
        </w:rPr>
      </w:pPr>
      <w:r w:rsidRPr="00F20190">
        <w:rPr>
          <w:rFonts w:ascii="Times New Roman" w:hAnsi="Times New Roman"/>
          <w:b/>
          <w:i/>
        </w:rPr>
        <w:t>Phối hợp antacid: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  Thường phối hợp </w:t>
      </w:r>
      <w:r w:rsidRPr="00F20190">
        <w:rPr>
          <w:rFonts w:ascii="Times New Roman" w:hAnsi="Times New Roman"/>
        </w:rPr>
        <w:sym w:font="Symbol" w:char="F0B3"/>
      </w:r>
      <w:r w:rsidRPr="00F20190">
        <w:rPr>
          <w:rFonts w:ascii="Times New Roman" w:hAnsi="Times New Roman"/>
        </w:rPr>
        <w:t xml:space="preserve"> 2 loại antacid cho 1 lần uống để đạt mục đích: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</w:t>
      </w:r>
      <w:r w:rsidRPr="00F20190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F20190">
        <w:rPr>
          <w:rFonts w:ascii="Times New Roman" w:hAnsi="Times New Roman"/>
        </w:rPr>
        <w:t xml:space="preserve">. Kết hợp thuốc tác dụng nhanh vơí thuốc tác dụng chậm, </w:t>
      </w:r>
      <w:r w:rsidRPr="00F20190">
        <w:rPr>
          <w:rFonts w:ascii="Times New Roman" w:hAnsi="Times New Roman"/>
          <w:i/>
        </w:rPr>
        <w:t>ví dụ: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ab/>
        <w:t xml:space="preserve">   Phối hợp Al(OH)</w:t>
      </w:r>
      <w:r w:rsidRPr="00F20190">
        <w:rPr>
          <w:rFonts w:ascii="Times New Roman" w:hAnsi="Times New Roman"/>
          <w:vertAlign w:val="subscript"/>
        </w:rPr>
        <w:t>3</w:t>
      </w:r>
      <w:r w:rsidRPr="00F20190">
        <w:rPr>
          <w:rFonts w:ascii="Times New Roman" w:hAnsi="Times New Roman"/>
        </w:rPr>
        <w:t xml:space="preserve"> phát huy chậm với Mg(OH)</w:t>
      </w:r>
      <w:r w:rsidRPr="00F20190">
        <w:rPr>
          <w:rFonts w:ascii="Times New Roman" w:hAnsi="Times New Roman"/>
          <w:vertAlign w:val="subscript"/>
        </w:rPr>
        <w:t>2</w:t>
      </w:r>
      <w:r w:rsidRPr="00F20190">
        <w:rPr>
          <w:rFonts w:ascii="Times New Roman" w:hAnsi="Times New Roman"/>
        </w:rPr>
        <w:t xml:space="preserve"> phát huy nhanh.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</w:t>
      </w:r>
      <w:r w:rsidRPr="00F20190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F20190">
        <w:rPr>
          <w:rFonts w:ascii="Times New Roman" w:hAnsi="Times New Roman"/>
        </w:rPr>
        <w:t xml:space="preserve">. Chất này khắc phục tác dụng phụ của chất kia, </w:t>
      </w:r>
      <w:r w:rsidRPr="00F20190">
        <w:rPr>
          <w:rFonts w:ascii="Times New Roman" w:hAnsi="Times New Roman"/>
          <w:i/>
        </w:rPr>
        <w:t>ví dụ:</w:t>
      </w:r>
      <w:r w:rsidRPr="00F20190">
        <w:rPr>
          <w:rFonts w:ascii="Times New Roman" w:hAnsi="Times New Roman"/>
        </w:rPr>
        <w:t xml:space="preserve"> 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  <w:lang w:val="fr-FR"/>
        </w:rPr>
      </w:pPr>
      <w:r w:rsidRPr="00F20190">
        <w:rPr>
          <w:rFonts w:ascii="Times New Roman" w:hAnsi="Times New Roman"/>
        </w:rPr>
        <w:tab/>
        <w:t xml:space="preserve">   </w:t>
      </w:r>
      <w:r w:rsidRPr="00F20190">
        <w:rPr>
          <w:rFonts w:ascii="Times New Roman" w:hAnsi="Times New Roman"/>
          <w:lang w:val="fr-FR"/>
        </w:rPr>
        <w:t>Muối Mg gây đi lỏng kết hợp muối Al gây táo bón (se niêm mạc).</w:t>
      </w:r>
    </w:p>
    <w:p w:rsidR="00F61AC7" w:rsidRPr="00F20190" w:rsidRDefault="00F61AC7" w:rsidP="00F61AC7">
      <w:pPr>
        <w:spacing w:line="264" w:lineRule="auto"/>
        <w:jc w:val="both"/>
        <w:rPr>
          <w:rFonts w:ascii="Times New Roman" w:hAnsi="Times New Roman"/>
        </w:rPr>
      </w:pPr>
      <w:r w:rsidRPr="00F20190">
        <w:rPr>
          <w:rFonts w:ascii="Times New Roman" w:hAnsi="Times New Roman"/>
          <w:lang w:val="fr-FR"/>
        </w:rPr>
        <w:t xml:space="preserve">        </w:t>
      </w:r>
      <w:r>
        <w:rPr>
          <w:rFonts w:ascii="Times New Roman" w:hAnsi="Times New Roman"/>
          <w:lang w:val="fr-FR"/>
        </w:rPr>
        <w:t>(</w:t>
      </w:r>
      <w:r w:rsidRPr="00F20190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F20190">
        <w:rPr>
          <w:rFonts w:ascii="Times New Roman" w:hAnsi="Times New Roman"/>
        </w:rPr>
        <w:t xml:space="preserve">. Giảm liều từng antacid riêng lẻ. </w:t>
      </w:r>
    </w:p>
    <w:p w:rsidR="00F61AC7" w:rsidRPr="00B05EEC" w:rsidRDefault="00F61AC7" w:rsidP="00F61AC7">
      <w:pPr>
        <w:spacing w:line="264" w:lineRule="auto"/>
        <w:jc w:val="both"/>
        <w:rPr>
          <w:rFonts w:ascii="Times New Roman" w:hAnsi="Times New Roman"/>
          <w:b/>
          <w:i/>
        </w:rPr>
      </w:pPr>
      <w:r w:rsidRPr="00F20190">
        <w:rPr>
          <w:rFonts w:ascii="Times New Roman" w:hAnsi="Times New Roman"/>
          <w:b/>
          <w:i/>
        </w:rPr>
        <w:t xml:space="preserve">Tương tác thuốc: </w:t>
      </w:r>
      <w:r w:rsidRPr="00F20190">
        <w:rPr>
          <w:rFonts w:ascii="Times New Roman" w:hAnsi="Times New Roman"/>
        </w:rPr>
        <w:t>Antacid làm giảm hấp thu thuốc dùng đồng thời. Vì vậy khi áp dụng phác đồ chữa viêm dạ dày, cần uống thuốc đặc hiệu trước antacid 1-2 h.</w:t>
      </w:r>
    </w:p>
    <w:p w:rsidR="001F6530" w:rsidRDefault="001F6530">
      <w:bookmarkStart w:id="2" w:name="_GoBack"/>
      <w:bookmarkEnd w:id="2"/>
    </w:p>
    <w:sectPr w:rsidR="001F6530" w:rsidSect="00822E0E">
      <w:type w:val="continuous"/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C7"/>
    <w:rsid w:val="001F6530"/>
    <w:rsid w:val="00822E0E"/>
    <w:rsid w:val="00F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C7"/>
    <w:pPr>
      <w:spacing w:after="0" w:line="240" w:lineRule="auto"/>
    </w:pPr>
    <w:rPr>
      <w:rFonts w:asciiTheme="majorHAnsi" w:eastAsia="Times New Roman" w:hAnsiTheme="majorHAnsi" w:cs="Times New Roman"/>
      <w:sz w:val="26"/>
      <w:szCs w:val="20"/>
    </w:rPr>
  </w:style>
  <w:style w:type="paragraph" w:styleId="Heading1">
    <w:name w:val="heading 1"/>
    <w:aliases w:val="Tiêu đề chương"/>
    <w:basedOn w:val="Normal"/>
    <w:next w:val="Normal"/>
    <w:link w:val="Heading1Char"/>
    <w:qFormat/>
    <w:rsid w:val="00F61AC7"/>
    <w:pPr>
      <w:keepNext/>
      <w:jc w:val="center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link w:val="Heading2Char"/>
    <w:qFormat/>
    <w:rsid w:val="00F61AC7"/>
    <w:pPr>
      <w:keepNext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61AC7"/>
    <w:pPr>
      <w:keepNext/>
      <w:spacing w:line="288" w:lineRule="auto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F61AC7"/>
    <w:pPr>
      <w:spacing w:line="264" w:lineRule="auto"/>
      <w:jc w:val="both"/>
      <w:outlineLvl w:val="3"/>
    </w:pPr>
    <w:rPr>
      <w:rFonts w:ascii="Times New Roman" w:hAnsi="Times New Roman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êu đề chương Char"/>
    <w:basedOn w:val="DefaultParagraphFont"/>
    <w:link w:val="Heading1"/>
    <w:rsid w:val="00F61AC7"/>
    <w:rPr>
      <w:rFonts w:asciiTheme="majorHAnsi" w:eastAsia="Times New Roman" w:hAnsiTheme="majorHAnsi" w:cs="Arial"/>
      <w:b/>
      <w:bCs/>
      <w:kern w:val="32"/>
      <w:sz w:val="34"/>
      <w:szCs w:val="32"/>
    </w:rPr>
  </w:style>
  <w:style w:type="character" w:customStyle="1" w:styleId="Heading2Char">
    <w:name w:val="Heading 2 Char"/>
    <w:basedOn w:val="DefaultParagraphFont"/>
    <w:link w:val="Heading2"/>
    <w:rsid w:val="00F61A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61AC7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61AC7"/>
    <w:rPr>
      <w:rFonts w:ascii="Times New Roman" w:eastAsia="Times New Roman" w:hAnsi="Times New Roman" w:cs="Times New Roman"/>
      <w:b/>
      <w:i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C7"/>
    <w:pPr>
      <w:spacing w:after="0" w:line="240" w:lineRule="auto"/>
    </w:pPr>
    <w:rPr>
      <w:rFonts w:asciiTheme="majorHAnsi" w:eastAsia="Times New Roman" w:hAnsiTheme="majorHAnsi" w:cs="Times New Roman"/>
      <w:sz w:val="26"/>
      <w:szCs w:val="20"/>
    </w:rPr>
  </w:style>
  <w:style w:type="paragraph" w:styleId="Heading1">
    <w:name w:val="heading 1"/>
    <w:aliases w:val="Tiêu đề chương"/>
    <w:basedOn w:val="Normal"/>
    <w:next w:val="Normal"/>
    <w:link w:val="Heading1Char"/>
    <w:qFormat/>
    <w:rsid w:val="00F61AC7"/>
    <w:pPr>
      <w:keepNext/>
      <w:jc w:val="center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link w:val="Heading2Char"/>
    <w:qFormat/>
    <w:rsid w:val="00F61AC7"/>
    <w:pPr>
      <w:keepNext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61AC7"/>
    <w:pPr>
      <w:keepNext/>
      <w:spacing w:line="288" w:lineRule="auto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F61AC7"/>
    <w:pPr>
      <w:spacing w:line="264" w:lineRule="auto"/>
      <w:jc w:val="both"/>
      <w:outlineLvl w:val="3"/>
    </w:pPr>
    <w:rPr>
      <w:rFonts w:ascii="Times New Roman" w:hAnsi="Times New Roman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êu đề chương Char"/>
    <w:basedOn w:val="DefaultParagraphFont"/>
    <w:link w:val="Heading1"/>
    <w:rsid w:val="00F61AC7"/>
    <w:rPr>
      <w:rFonts w:asciiTheme="majorHAnsi" w:eastAsia="Times New Roman" w:hAnsiTheme="majorHAnsi" w:cs="Arial"/>
      <w:b/>
      <w:bCs/>
      <w:kern w:val="32"/>
      <w:sz w:val="34"/>
      <w:szCs w:val="32"/>
    </w:rPr>
  </w:style>
  <w:style w:type="character" w:customStyle="1" w:styleId="Heading2Char">
    <w:name w:val="Heading 2 Char"/>
    <w:basedOn w:val="DefaultParagraphFont"/>
    <w:link w:val="Heading2"/>
    <w:rsid w:val="00F61A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61AC7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61AC7"/>
    <w:rPr>
      <w:rFonts w:ascii="Times New Roman" w:eastAsia="Times New Roman" w:hAnsi="Times New Roman" w:cs="Times New Roman"/>
      <w:b/>
      <w:i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2019-12-25T03:10:00Z</dcterms:created>
  <dcterms:modified xsi:type="dcterms:W3CDTF">2019-12-25T03:11:00Z</dcterms:modified>
</cp:coreProperties>
</file>