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E9" w:rsidRPr="002463E9" w:rsidRDefault="002463E9" w:rsidP="002463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42424"/>
          <w:sz w:val="45"/>
          <w:szCs w:val="45"/>
        </w:rPr>
      </w:pPr>
      <w:proofErr w:type="spellStart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Cảnh</w:t>
      </w:r>
      <w:proofErr w:type="spellEnd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báo</w:t>
      </w:r>
      <w:proofErr w:type="spellEnd"/>
      <w:r w:rsidRPr="002463E9"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Terbutaline</w:t>
      </w:r>
      <w:proofErr w:type="spellEnd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 xml:space="preserve"> ở </w:t>
      </w:r>
      <w:proofErr w:type="spellStart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phụ</w:t>
      </w:r>
      <w:proofErr w:type="spellEnd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nữ</w:t>
      </w:r>
      <w:proofErr w:type="spellEnd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mang</w:t>
      </w:r>
      <w:proofErr w:type="spellEnd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b/>
          <w:bCs/>
          <w:color w:val="242424"/>
          <w:sz w:val="45"/>
          <w:szCs w:val="45"/>
        </w:rPr>
        <w:t>thai</w:t>
      </w:r>
      <w:proofErr w:type="spellEnd"/>
      <w:proofErr w:type="gramEnd"/>
    </w:p>
    <w:p w:rsidR="002463E9" w:rsidRPr="002463E9" w:rsidRDefault="002463E9" w:rsidP="002463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6"/>
          <w:szCs w:val="26"/>
        </w:rPr>
      </w:pP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nghiên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cứu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động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vật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thấy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chuột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con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biểu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hiện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sự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đổi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hành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vi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phát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triển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não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bộ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bao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gồm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giảm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sự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tăng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sinh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</w:t>
      </w:r>
      <w:r>
        <w:rPr>
          <w:rFonts w:ascii="Segoe UI" w:eastAsia="Times New Roman" w:hAnsi="Segoe UI" w:cs="Segoe UI"/>
          <w:color w:val="242424"/>
          <w:sz w:val="26"/>
          <w:szCs w:val="26"/>
        </w:rPr>
        <w:t>à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biệt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hóa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tế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bào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khi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terbutalin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tiêm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dưới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da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đoạn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cuối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thời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cho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con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bú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proofErr w:type="gramStart"/>
      <w:r>
        <w:rPr>
          <w:rFonts w:ascii="Segoe UI" w:eastAsia="Times New Roman" w:hAnsi="Segoe UI" w:cs="Segoe UI"/>
          <w:color w:val="242424"/>
          <w:sz w:val="26"/>
          <w:szCs w:val="26"/>
        </w:rPr>
        <w:t>Terbutalin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qua</w:t>
      </w:r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nhau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thai.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 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Nồng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độ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máu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này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tìm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thấy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khoảng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từ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11%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đến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48%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nồng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độ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máu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mẹ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sau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dùng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liều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IV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duy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nhất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nghiên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cứu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phát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triển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phôi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động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vật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thấy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không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gây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quái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proofErr w:type="gram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ở con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chuột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mang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thỏ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nhận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này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Không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dữ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liệu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kiểm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soát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proofErr w:type="gram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con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người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br/>
      </w:r>
      <w:r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Phân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loại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trên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kì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theo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AU TGA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: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bởi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một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số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lượng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lớn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phụ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nữ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mang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phụ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nữ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độ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tuổi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sinh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đẻ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không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sự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tăng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nào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về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tần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suất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dị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tật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hoặc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động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hại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trực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tiếp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hoặc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gián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tiếp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đối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với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Phân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loại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trên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kì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theo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gramStart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FDA 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:</w:t>
      </w:r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nghiên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cứu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sinh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sản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động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vật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đã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thấy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phụ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đối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với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không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nghiên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cứu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đầy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đủ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kiểm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soát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ở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người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nhưng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lợi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ích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tiềm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năng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thể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đảm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bảo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ở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phụ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nữ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mang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mặc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dù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nguy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tiềm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ẩn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</w:t>
      </w:r>
    </w:p>
    <w:p w:rsidR="002463E9" w:rsidRPr="002463E9" w:rsidRDefault="002463E9" w:rsidP="002463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6"/>
          <w:szCs w:val="26"/>
        </w:rPr>
      </w:pP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này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chỉ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proofErr w:type="gram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nếu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lợi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ích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vượt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trội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hơn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nguy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đối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với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 w:rsidRPr="002463E9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Điều</w:t>
      </w:r>
      <w:proofErr w:type="spellEnd"/>
      <w:r w:rsidRPr="002463E9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trị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chuyển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 </w:t>
      </w:r>
      <w:proofErr w:type="spellStart"/>
      <w:proofErr w:type="gramStart"/>
      <w:r w:rsidRPr="002463E9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sớm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> :</w:t>
      </w:r>
      <w:proofErr w:type="gramEnd"/>
      <w:r>
        <w:rPr>
          <w:rFonts w:ascii="Segoe UI" w:eastAsia="Times New Roman" w:hAnsi="Segoe UI" w:cs="Segoe UI"/>
          <w:color w:val="242424"/>
          <w:sz w:val="26"/>
          <w:szCs w:val="26"/>
        </w:rPr>
        <w:t> -Ở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một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số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quốc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truy</w:t>
      </w:r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ền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IV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chấp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thuận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để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ngừa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chuyển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khoảng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thời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gian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từ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22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đến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37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tuần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tuổi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ở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những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bệnh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nhân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không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chống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chỉ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định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y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khoa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hoặc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sản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khoa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đối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với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liệu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pháp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giảm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co.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  <w:t xml:space="preserve">-Theo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một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số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quan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chức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năng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truyền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IV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thận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trọng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</w:t>
      </w:r>
      <w:r>
        <w:rPr>
          <w:rFonts w:ascii="Segoe UI" w:eastAsia="Times New Roman" w:hAnsi="Segoe UI" w:cs="Segoe UI"/>
          <w:color w:val="242424"/>
          <w:sz w:val="26"/>
          <w:szCs w:val="26"/>
        </w:rPr>
        <w:t>ng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ba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tháng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đầu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>
        <w:rPr>
          <w:rFonts w:ascii="Segoe UI" w:eastAsia="Times New Roman" w:hAnsi="Segoe UI" w:cs="Segoe UI"/>
          <w:color w:val="242424"/>
          <w:sz w:val="26"/>
          <w:szCs w:val="26"/>
        </w:rPr>
        <w:br/>
      </w:r>
      <w:r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Phân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l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oại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trên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AU TGA: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Loại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 </w:t>
      </w:r>
      <w:r>
        <w:rPr>
          <w:rFonts w:ascii="Segoe UI" w:eastAsia="Times New Roman" w:hAnsi="Segoe UI" w:cs="Segoe UI"/>
          <w:color w:val="242424"/>
          <w:sz w:val="26"/>
          <w:szCs w:val="26"/>
        </w:rPr>
        <w:t>A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Phân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loại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>
        <w:rPr>
          <w:rFonts w:ascii="Segoe UI" w:eastAsia="Times New Roman" w:hAnsi="Segoe UI" w:cs="Segoe UI"/>
          <w:color w:val="242424"/>
          <w:sz w:val="26"/>
          <w:szCs w:val="26"/>
        </w:rPr>
        <w:t>trên</w:t>
      </w:r>
      <w:proofErr w:type="spellEnd"/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FDA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Hoa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: C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proofErr w:type="spellStart"/>
      <w:r w:rsidRPr="002463E9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Nhận</w:t>
      </w:r>
      <w:proofErr w:type="spellEnd"/>
      <w:r w:rsidRPr="002463E9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 xml:space="preserve"> </w:t>
      </w:r>
      <w:proofErr w:type="spellStart"/>
      <w:proofErr w:type="gramStart"/>
      <w:r w:rsidRPr="002463E9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xét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 :</w:t>
      </w:r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</w:r>
      <w:r w:rsidR="00EB6CC3">
        <w:rPr>
          <w:rFonts w:ascii="Segoe UI" w:eastAsia="Times New Roman" w:hAnsi="Segoe UI" w:cs="Segoe UI"/>
          <w:color w:val="242424"/>
          <w:sz w:val="26"/>
          <w:szCs w:val="26"/>
        </w:rPr>
        <w:lastRenderedPageBreak/>
        <w:t>-Ở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một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số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quốc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giải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pháp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tiêm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dưới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da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chưa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phê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duyệt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không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để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giảm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co</w:t>
      </w:r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thắt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</w:t>
      </w:r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éo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dài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(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ngoài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48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đến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72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giờ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). </w:t>
      </w:r>
      <w:proofErr w:type="spellStart"/>
      <w:proofErr w:type="gram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không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để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duy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trì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giảm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phân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điều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trị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ngoại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trú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hoặc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tại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  <w:t>-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Phản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ứng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bất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lợi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như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tăng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nhịp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proofErr w:type="gram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tim</w:t>
      </w:r>
      <w:proofErr w:type="spellEnd"/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tăng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đường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huyết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thoáng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qua,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kali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máu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rối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loạn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nhịp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phù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phổi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,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thiếu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máu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đã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báo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cáo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ở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phụ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nữ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mang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sau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dùng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thuốc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này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  <w:t xml:space="preserve">-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Tăng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nhịp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proofErr w:type="gram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tim</w:t>
      </w:r>
      <w:proofErr w:type="spellEnd"/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đường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huyết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ở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trẻ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sinh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thể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xảy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ra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do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hậu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quả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của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mẹ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  <w:t>-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Phương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pháp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trị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liệu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bệnh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hen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suyễn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bệnh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phổi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: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thận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trọng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vào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cuối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proofErr w:type="gram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thai</w:t>
      </w:r>
      <w:proofErr w:type="spellEnd"/>
      <w:proofErr w:type="gram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vì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tác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giảm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co</w:t>
      </w:r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thắt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cơ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trơn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br/>
        <w:t>-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Giai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đoạn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chuyển</w:t>
      </w:r>
      <w:proofErr w:type="spellEnd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="00EB6CC3">
        <w:rPr>
          <w:rFonts w:ascii="Segoe UI" w:eastAsia="Times New Roman" w:hAnsi="Segoe UI" w:cs="Segoe UI"/>
          <w:color w:val="242424"/>
          <w:sz w:val="26"/>
          <w:szCs w:val="26"/>
        </w:rPr>
        <w:t>dạ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: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Việc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sử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dụng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để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làm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giảm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co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thắt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phế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quản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trong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khi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chuyển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dạ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nên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được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giới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hạn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ở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những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bệnh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nhân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có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lợi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ích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rõ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ràng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hơn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nguy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proofErr w:type="spellStart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cơ</w:t>
      </w:r>
      <w:proofErr w:type="spellEnd"/>
      <w:r w:rsidRPr="002463E9">
        <w:rPr>
          <w:rFonts w:ascii="Segoe UI" w:eastAsia="Times New Roman" w:hAnsi="Segoe UI" w:cs="Segoe UI"/>
          <w:color w:val="242424"/>
          <w:sz w:val="26"/>
          <w:szCs w:val="26"/>
        </w:rPr>
        <w:t>.</w:t>
      </w:r>
    </w:p>
    <w:p w:rsidR="004975E3" w:rsidRDefault="004975E3">
      <w:bookmarkStart w:id="0" w:name="_GoBack"/>
      <w:bookmarkEnd w:id="0"/>
    </w:p>
    <w:sectPr w:rsidR="0049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E9"/>
    <w:rsid w:val="002463E9"/>
    <w:rsid w:val="004975E3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3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2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3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2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6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2019-08-17T07:35:00Z</dcterms:created>
  <dcterms:modified xsi:type="dcterms:W3CDTF">2019-08-17T07:54:00Z</dcterms:modified>
</cp:coreProperties>
</file>