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18" w:rsidRDefault="009D0218" w:rsidP="009D02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</w:pPr>
      <w:proofErr w:type="spellStart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Tổng</w:t>
      </w:r>
      <w:proofErr w:type="spellEnd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quan</w:t>
      </w:r>
      <w:proofErr w:type="spellEnd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về</w:t>
      </w:r>
      <w:proofErr w:type="spellEnd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bào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Proniosome</w:t>
      </w:r>
      <w:proofErr w:type="spellEnd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– </w:t>
      </w:r>
      <w:proofErr w:type="spellStart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hệ</w:t>
      </w:r>
      <w:proofErr w:type="spellEnd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thống</w:t>
      </w:r>
      <w:proofErr w:type="spellEnd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phân</w:t>
      </w:r>
      <w:proofErr w:type="spellEnd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phối</w:t>
      </w:r>
      <w:proofErr w:type="spellEnd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4F30B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thuốc</w:t>
      </w:r>
      <w:proofErr w:type="spellEnd"/>
    </w:p>
    <w:p w:rsidR="00C368C6" w:rsidRPr="00C41395" w:rsidRDefault="00C368C6" w:rsidP="007E41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</w:pPr>
      <w:proofErr w:type="spellStart"/>
      <w:r w:rsidRPr="00C41395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Xác</w:t>
      </w:r>
      <w:proofErr w:type="spellEnd"/>
      <w:r w:rsidRPr="00C41395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C41395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định</w:t>
      </w:r>
      <w:proofErr w:type="spellEnd"/>
      <w:r w:rsidRPr="00C41395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C41395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hiệu</w:t>
      </w:r>
      <w:proofErr w:type="spellEnd"/>
      <w:r w:rsidRPr="00C41395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C41395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quả</w:t>
      </w:r>
      <w:proofErr w:type="spellEnd"/>
      <w:r w:rsidRPr="00C41395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C41395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đóng</w:t>
      </w:r>
      <w:proofErr w:type="spellEnd"/>
      <w:r w:rsidRPr="00C41395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C41395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gói</w:t>
      </w:r>
      <w:proofErr w:type="spellEnd"/>
      <w:r w:rsidR="00FD4969" w:rsidRPr="00C41395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</w:p>
    <w:p w:rsidR="00E824C0" w:rsidRPr="00C41395" w:rsidRDefault="009D0218" w:rsidP="007E41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Hiệ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u quả đóng gói của proniosome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được xác định </w:t>
      </w:r>
      <w:r w:rsidR="00C368C6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sau khi tách thuốc </w:t>
      </w:r>
      <w:proofErr w:type="spellStart"/>
      <w:r w:rsidR="00C368C6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>tự</w:t>
      </w:r>
      <w:proofErr w:type="spellEnd"/>
      <w:r w:rsidR="00C368C6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do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ra khỏi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C368C6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thuốc bị bẫy trong proniosome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sử dụng các kỹ thuật như ly tâm (Hu</w:t>
      </w:r>
      <w:r w:rsidR="00C368C6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và Rhodes, 1999, Fang và cộng sự, 2001, Blazek-Welsh và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Rhodes, 2001a, Alsarra và cộng sự, 2004, Gupta và cộng sự, 2007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và Abd-El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bary et al., 2008) và bằng cách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sử dụng giấy bóng kính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C368C6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ống lọc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D-9777</w:t>
      </w:r>
      <w:r w:rsidR="00C368C6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và thẩm tách</w:t>
      </w:r>
      <w:r w:rsidR="00C368C6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C368C6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>ngược</w:t>
      </w:r>
      <w:proofErr w:type="spellEnd"/>
      <w:r w:rsidR="00C368C6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triệt để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400 mL nước muối sinh lý ở 4°C trong 24 giờ (Vora et al., 1998 và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Solanki và cộng sự, 2007).</w:t>
      </w:r>
    </w:p>
    <w:p w:rsidR="00E824C0" w:rsidRPr="00C41395" w:rsidRDefault="00E824C0" w:rsidP="007E41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</w:pPr>
      <w:r w:rsidRPr="00C41395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Xác định hiệu quả bẫy (đo</w:t>
      </w:r>
      <w:r w:rsidR="00FD4969" w:rsidRPr="00C41395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r w:rsidRPr="00C41395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phân vùng)</w:t>
      </w:r>
    </w:p>
    <w:p w:rsidR="00E824C0" w:rsidRPr="00C41395" w:rsidRDefault="009D0218" w:rsidP="007E41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túi thu được sau khi loại bỏ thuốc</w:t>
      </w:r>
      <w:r w:rsidR="00F0637A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F0637A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>tự</w:t>
      </w:r>
      <w:proofErr w:type="spellEnd"/>
      <w:r w:rsidR="00F0637A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do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bằng cách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ly tâm, c</w:t>
      </w:r>
      <w:r w:rsidR="00F0637A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ác viên được thu thập và rửa lại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trong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0,9% muối sau đó thêm tỷ lệ tuyệt đối 1: 1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rượu: hỗn hợp propylene glycol để làm tan các túi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(Vora và cộng sự, 1998).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túi thu được sau kh</w:t>
      </w:r>
      <w:r w:rsidR="00F0637A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i loại bỏ thuốc tự</w:t>
      </w:r>
      <w:r w:rsidR="00F0637A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do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bằng thẩm tách sau đó được tái huyền phù trong 30% v/v của PEG-200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và 1ml dung dịch Triton X-100 0,1% v/v được thêm vào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hòa tan các túi (Abd-Elbary et al., 2008). Các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dung dịch trong suốt thu được sau đó được lọc và phân tích cho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hàm lượng thuốc.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0637A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Tỷ lệ phần trăm dược chất bị bẫy trong proniosome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được tính bằng cách sử dụng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công thức sau (Hao et al., 2002 và Abd-Elbary et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cộng sự, 2008).</w:t>
      </w:r>
    </w:p>
    <w:p w:rsidR="00F0637A" w:rsidRPr="00C41395" w:rsidRDefault="00F0637A" w:rsidP="009D02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C41395">
        <w:rPr>
          <w:rFonts w:ascii="Times New Roman" w:eastAsia="Times New Roman" w:hAnsi="Times New Roman" w:cs="Times New Roman"/>
          <w:noProof/>
          <w:color w:val="202124"/>
          <w:sz w:val="26"/>
          <w:szCs w:val="26"/>
        </w:rPr>
        <w:drawing>
          <wp:inline distT="0" distB="0" distL="0" distR="0" wp14:anchorId="0DB1746B" wp14:editId="6BCBF327">
            <wp:extent cx="1567543" cy="62204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8051" cy="63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0" w:rsidRPr="00C41395" w:rsidRDefault="009D0218" w:rsidP="007E41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Trong đó EE% là phần trăm hiệu suất bẫy, ED là</w:t>
      </w:r>
      <w:r w:rsidR="00FD4969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0637A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nồng độ thuốc bị bẫy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theo và TD là giá trị lý thuyết</w:t>
      </w:r>
      <w:r w:rsidR="00F0637A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nồng độ thuốc.</w:t>
      </w:r>
    </w:p>
    <w:p w:rsidR="00E824C0" w:rsidRPr="00C41395" w:rsidRDefault="00E824C0" w:rsidP="007E41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</w:pPr>
      <w:r w:rsidRPr="00C41395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Giải phóng thuốc trong ố</w:t>
      </w:r>
      <w:r w:rsidR="009D0218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ng nghiệm từ các túi proniosome</w:t>
      </w:r>
    </w:p>
    <w:p w:rsidR="00E824C0" w:rsidRPr="00C41395" w:rsidRDefault="009D0218" w:rsidP="007E41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nghiên cứu về sự giải phóng thuốc và thẩm thấu qua da trong ống nghiệm đối với</w:t>
      </w:r>
      <w:r w:rsidR="00F0637A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proniosome được xác định bằng các kỹ thuật khác nhau như</w:t>
      </w:r>
      <w:r w:rsidR="00F0637A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Tế bào khuếch tán Franz (Fang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lastRenderedPageBreak/>
        <w:t>et al., 2001b), Keshary-Chien</w:t>
      </w:r>
      <w:r w:rsidR="00C41395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tế bào khuếch tán (Vora et al., 1998), Cellophane thẩm tách</w:t>
      </w:r>
      <w:r w:rsidR="00C41395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màng (Alsarra, et al., 2004 và Ankur Gupta et al.,</w:t>
      </w:r>
      <w:r w:rsidR="00C41395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2007), Thiết bị hòa tan USP Loại I (Abd-Elbary et</w:t>
      </w:r>
      <w:r w:rsidR="00C41395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al., 2008), màng xốp phân tử Spectrapor©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ống (Abd-Elbary và cộng sự, 2008).</w:t>
      </w:r>
      <w:r w:rsidR="00C41395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     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nghiên cứu thấm qua da trong ống nghiệm đã được thực hiện</w:t>
      </w:r>
      <w:r w:rsidR="00C41395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s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ử dụng da lưng của thỏ trắng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(Alsarra et al., 2004),</w:t>
      </w:r>
      <w:r w:rsidR="00C41395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chuột trắng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cái (chủng Sprauge-Dawley), da sườn</w:t>
      </w:r>
      <w:r w:rsidR="00C41395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(Vora et al., 1998) và da chuột Wister (7-9 tuần tuổi)</w:t>
      </w:r>
      <w:r w:rsidR="00C41395" w:rsidRP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(Fang và cộng sự, 2001). Sự giải phóng thuốc từ các túi niosomal dẫn xuất proniosome có thể theo bất kỳ một hoặc nhiều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cơ chế sau; giải hấp từ bề mặt của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túi hoặc khuếch tán thuốc từ màng hai lớp hoặc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cơ chế giải hấp và khuếch tán kết hợp.</w:t>
      </w:r>
    </w:p>
    <w:p w:rsidR="00E824C0" w:rsidRPr="00C41395" w:rsidRDefault="00E824C0" w:rsidP="007E41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</w:pPr>
      <w:r w:rsidRPr="00C41395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Nghiên cứu độ ổn định trên proniosome</w:t>
      </w:r>
    </w:p>
    <w:p w:rsidR="00E824C0" w:rsidRPr="00C41395" w:rsidRDefault="009D0218" w:rsidP="007E41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Nghiên cứu độ ổn định được thực hiện bằng cách bảo quản dung dịch đã chuẩn bị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proniosome ở các điều kiện nhiệt độ khác nhau như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nhiệt độ làm lạnh (2°-8°C), nhiệt độ phòng (25°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± 0,5°C) và nhiệt độ nâng cao (45° ± 0,5°C) từ nhiệt độ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thời gian từ một tháng đến ba tháng. Hàm lượng thuốc và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sự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thay đổi trong đường kính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>proniosome</w:t>
      </w:r>
      <w:proofErr w:type="spellEnd"/>
      <w:r w:rsidR="00D9532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trung bình </w:t>
      </w:r>
      <w:proofErr w:type="spellStart"/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theo dõi định kỳ (Vora et al., 1998, Gupta et al.,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2007 và Abd-Elbary và cộng sự, 2008).</w:t>
      </w:r>
    </w:p>
    <w:p w:rsidR="00E824C0" w:rsidRPr="00C41395" w:rsidRDefault="009D0218" w:rsidP="007E41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hướng dẫn của ICH gợi ý các nghiên cứu về độ ổn định đối với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bột proniosome dùng để hoàn nguyên nên được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nghiên cứu về độ ổn định tăng tốc ở 40°C/75% tương đốiđộ ẩm theo vùng khí hậu quốc tế và khí hậu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điều kiện (WHO, 1996). Đối với các nghiên cứu ổn định dài hạn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nhiệt độ là 25°C/60% RH đối với các quốc gia trong khu vực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I &amp; II và đối với các nước thuộc Khu vực III &amp; IV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nhiệt độ là 30°C/65% RH. 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S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ản phẩm nên được</w:t>
      </w:r>
    </w:p>
    <w:p w:rsidR="00E824C0" w:rsidRDefault="00E824C0" w:rsidP="007E41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đánh giá về hình thức, màu sắc, định lượng, pH, chất bảo quản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>,</w:t>
      </w:r>
      <w:r w:rsidR="009D0218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kích thước</w:t>
      </w:r>
      <w:r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hạt, vô trùng và </w:t>
      </w:r>
      <w:proofErr w:type="spellStart"/>
      <w:r w:rsidR="009D0218">
        <w:rPr>
          <w:rFonts w:ascii="Times New Roman" w:eastAsia="Times New Roman" w:hAnsi="Times New Roman" w:cs="Times New Roman"/>
          <w:color w:val="202124"/>
          <w:sz w:val="26"/>
          <w:szCs w:val="26"/>
        </w:rPr>
        <w:t>chất</w:t>
      </w:r>
      <w:proofErr w:type="spellEnd"/>
      <w:r w:rsidR="009D0218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gây sốt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. </w:t>
      </w:r>
      <w:r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nghiên cứu khác nhau được thực hiện trên proniosome và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các ứng dụng/mục đích y tế được tóm tắt trong bảng 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>3.</w:t>
      </w:r>
    </w:p>
    <w:p w:rsidR="009D0218" w:rsidRPr="00D9532A" w:rsidRDefault="009D0218" w:rsidP="007E41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9D0218">
        <w:rPr>
          <w:rFonts w:ascii="Times New Roman" w:eastAsia="Times New Roman" w:hAnsi="Times New Roman" w:cs="Times New Roman"/>
          <w:color w:val="202124"/>
          <w:sz w:val="26"/>
          <w:szCs w:val="26"/>
        </w:rPr>
        <w:lastRenderedPageBreak/>
        <w:drawing>
          <wp:inline distT="0" distB="0" distL="0" distR="0" wp14:anchorId="08560C3C" wp14:editId="2801CF21">
            <wp:extent cx="6507376" cy="2604341"/>
            <wp:effectExtent l="0" t="0" r="825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6546" cy="260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0" w:rsidRPr="00D9532A" w:rsidRDefault="00D9532A" w:rsidP="007E41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</w:pPr>
      <w:r w:rsidRPr="00D9532A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Phần kết luận</w:t>
      </w:r>
    </w:p>
    <w:p w:rsidR="00E824C0" w:rsidRPr="00C41395" w:rsidRDefault="009D0218" w:rsidP="007E41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Proniosome là chất mang thuốc hứa hẹn cho tương lai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với sự ổn định vật lý và hóa học cao hơn và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có khả năng mở rộng ch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o khả năng thương mại. 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>H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ệ thống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>phân</w:t>
      </w:r>
      <w:proofErr w:type="spellEnd"/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>phối</w:t>
      </w:r>
      <w:proofErr w:type="spellEnd"/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>thuốc</w:t>
      </w:r>
      <w:proofErr w:type="spellEnd"/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hứa hẹn cung cấp thuốc hiệu quả cho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>cả</w:t>
      </w:r>
      <w:proofErr w:type="spellEnd"/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thuốc thân dầu và thân nước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. Proniosomes đã thu hút rất nhiều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quan tâm đến việc vận chuyển thuốc qua da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con đường vì những lợi thế như không độc hại và</w:t>
      </w:r>
      <w:r w:rsidR="00C41395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tác dụng tăng cường thâm nhập của chất hoạt động bề mặt và hiệu quả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thay đổi tính chất giải phóng dược chất. Proniosome trong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dạng 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bột khô làm cho khả năng phân liều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thuận tiện như bột proniosome có thể được tiếp tục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chế biến để làm hạt, viên nén hoặc viên nang. Những phát hiện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của các nghiên cứu về proniosome cho đến nay, mở ra cơ hội cho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việc sử dụng các vật liệu mang khác nhau trong tương lai với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khả năng tương thích sinh học và sự phù hợp để điều chế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tiền thuốc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. Tuy nhiên, các thí nghiệm trong tương lai nên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khám phá sự phù hợp của proniosome với nhiều loại thuốc hơn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đã xác định nhược điểm để cải thiện và hiệu quả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liệu pháp dự định. Các nghiên cứu cần được khám phá để đánh giá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khả năng của các vật liệu mang khác nhau để tạo thành</w:t>
      </w:r>
      <w:r w:rsidR="00D9532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proniosome và khả năng của proniosome để cung cấp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thuốc </w:t>
      </w:r>
      <w:r w:rsidR="00E824C0" w:rsidRPr="00C41395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thông qua các con đường khác nhau.</w:t>
      </w:r>
    </w:p>
    <w:p w:rsidR="009D0218" w:rsidRPr="004F30BA" w:rsidRDefault="009D0218" w:rsidP="009D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F30B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4F3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F30BA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4F3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F30BA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4F30B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4F30BA">
        <w:rPr>
          <w:rFonts w:ascii="Times New Roman" w:eastAsia="Times New Roman" w:hAnsi="Times New Roman" w:cs="Times New Roman"/>
          <w:sz w:val="26"/>
          <w:szCs w:val="26"/>
        </w:rPr>
        <w:t>Ths</w:t>
      </w:r>
      <w:proofErr w:type="spellEnd"/>
      <w:r w:rsidRPr="004F30B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4F30BA">
        <w:rPr>
          <w:rFonts w:ascii="Times New Roman" w:eastAsia="Times New Roman" w:hAnsi="Times New Roman" w:cs="Times New Roman"/>
          <w:sz w:val="26"/>
          <w:szCs w:val="26"/>
        </w:rPr>
        <w:t>Trịnh</w:t>
      </w:r>
      <w:proofErr w:type="spellEnd"/>
      <w:r w:rsidRPr="004F3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F30BA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4F30BA">
        <w:rPr>
          <w:rFonts w:ascii="Times New Roman" w:eastAsia="Times New Roman" w:hAnsi="Times New Roman" w:cs="Times New Roman"/>
          <w:sz w:val="26"/>
          <w:szCs w:val="26"/>
        </w:rPr>
        <w:t xml:space="preserve"> Loan</w:t>
      </w:r>
    </w:p>
    <w:p w:rsidR="009D0218" w:rsidRPr="004F30BA" w:rsidRDefault="009D0218" w:rsidP="009D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F30BA">
        <w:rPr>
          <w:rFonts w:ascii="Times New Roman" w:eastAsia="Times New Roman" w:hAnsi="Times New Roman" w:cs="Times New Roman"/>
          <w:sz w:val="26"/>
          <w:szCs w:val="26"/>
        </w:rPr>
        <w:lastRenderedPageBreak/>
        <w:t>Người</w:t>
      </w:r>
      <w:proofErr w:type="spellEnd"/>
      <w:r w:rsidRPr="004F3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F30BA">
        <w:rPr>
          <w:rFonts w:ascii="Times New Roman" w:eastAsia="Times New Roman" w:hAnsi="Times New Roman" w:cs="Times New Roman"/>
          <w:sz w:val="26"/>
          <w:szCs w:val="26"/>
        </w:rPr>
        <w:t>duyệt</w:t>
      </w:r>
      <w:proofErr w:type="spellEnd"/>
      <w:r w:rsidRPr="004F3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F30BA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4F30B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4F30BA">
        <w:rPr>
          <w:rFonts w:ascii="Times New Roman" w:eastAsia="Times New Roman" w:hAnsi="Times New Roman" w:cs="Times New Roman"/>
          <w:sz w:val="26"/>
          <w:szCs w:val="26"/>
        </w:rPr>
        <w:t>Ths</w:t>
      </w:r>
      <w:proofErr w:type="spellEnd"/>
      <w:r w:rsidRPr="004F30B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4F30BA"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 w:rsidRPr="004F3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F30BA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4F3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F30BA">
        <w:rPr>
          <w:rFonts w:ascii="Times New Roman" w:eastAsia="Times New Roman" w:hAnsi="Times New Roman" w:cs="Times New Roman"/>
          <w:sz w:val="26"/>
          <w:szCs w:val="26"/>
        </w:rPr>
        <w:t>Thùy</w:t>
      </w:r>
      <w:proofErr w:type="spellEnd"/>
      <w:r w:rsidRPr="004F3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F30BA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</w:p>
    <w:p w:rsidR="009D0218" w:rsidRPr="004F30BA" w:rsidRDefault="009D0218" w:rsidP="009D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F30BA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4F3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F30BA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4F30B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9D0218" w:rsidRPr="004F30BA" w:rsidRDefault="009D0218" w:rsidP="009D02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color w:val="00B0F0"/>
          <w:sz w:val="26"/>
          <w:szCs w:val="26"/>
        </w:rPr>
      </w:pPr>
      <w:hyperlink r:id="rId6" w:history="1">
        <w:r w:rsidRPr="004F30BA">
          <w:rPr>
            <w:rStyle w:val="Hyperlink"/>
            <w:rFonts w:ascii="Times New Roman" w:eastAsia="Times New Roman" w:hAnsi="Times New Roman" w:cs="Times New Roman"/>
            <w:color w:val="00B0F0"/>
            <w:sz w:val="26"/>
            <w:szCs w:val="26"/>
          </w:rPr>
          <w:t>https://pubmed.ncbi.nlm.nih.gov/20067875/</w:t>
        </w:r>
      </w:hyperlink>
    </w:p>
    <w:p w:rsidR="00287DC6" w:rsidRPr="00C41395" w:rsidRDefault="00287DC6" w:rsidP="007E41E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87DC6" w:rsidRPr="00C41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C0"/>
    <w:rsid w:val="00287DC6"/>
    <w:rsid w:val="003D5405"/>
    <w:rsid w:val="00487363"/>
    <w:rsid w:val="00553B48"/>
    <w:rsid w:val="006974A4"/>
    <w:rsid w:val="007E41E1"/>
    <w:rsid w:val="008E541B"/>
    <w:rsid w:val="009813A1"/>
    <w:rsid w:val="009D0218"/>
    <w:rsid w:val="00A11F2E"/>
    <w:rsid w:val="00C368C6"/>
    <w:rsid w:val="00C37375"/>
    <w:rsid w:val="00C41395"/>
    <w:rsid w:val="00D67BB6"/>
    <w:rsid w:val="00D9532A"/>
    <w:rsid w:val="00E35A96"/>
    <w:rsid w:val="00E824C0"/>
    <w:rsid w:val="00F0637A"/>
    <w:rsid w:val="00F25181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6218"/>
  <w15:chartTrackingRefBased/>
  <w15:docId w15:val="{809A9696-A422-4C62-99E8-6F8927E6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20067875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2023-01-06T07:56:00Z</dcterms:created>
  <dcterms:modified xsi:type="dcterms:W3CDTF">2023-07-18T09:55:00Z</dcterms:modified>
</cp:coreProperties>
</file>