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BC767" w14:textId="77777777" w:rsidR="00F77F50" w:rsidRPr="00F77F50" w:rsidRDefault="00F77F50" w:rsidP="00F77F50">
      <w:pPr>
        <w:shd w:val="clear" w:color="auto" w:fill="FFFFFF"/>
        <w:spacing w:before="100" w:beforeAutospacing="1" w:after="100" w:afterAutospacing="1" w:line="240" w:lineRule="auto"/>
        <w:outlineLvl w:val="0"/>
        <w:rPr>
          <w:rFonts w:ascii="Georgia" w:eastAsia="Times New Roman" w:hAnsi="Georgia" w:cs="Times New Roman"/>
          <w:b/>
          <w:bCs/>
          <w:color w:val="212121"/>
          <w:kern w:val="36"/>
          <w:sz w:val="48"/>
          <w:szCs w:val="48"/>
          <w:lang w:eastAsia="vi-VN"/>
        </w:rPr>
      </w:pPr>
      <w:r w:rsidRPr="00F77F50">
        <w:rPr>
          <w:rFonts w:ascii="Georgia" w:eastAsia="Times New Roman" w:hAnsi="Georgia" w:cs="Times New Roman"/>
          <w:b/>
          <w:bCs/>
          <w:color w:val="212121"/>
          <w:kern w:val="36"/>
          <w:sz w:val="48"/>
          <w:szCs w:val="48"/>
          <w:lang w:eastAsia="vi-VN"/>
        </w:rPr>
        <w:t>Tác d</w:t>
      </w:r>
      <w:r w:rsidRPr="00F77F50">
        <w:rPr>
          <w:rFonts w:ascii="Cambria" w:eastAsia="Times New Roman" w:hAnsi="Cambria" w:cs="Cambria"/>
          <w:b/>
          <w:bCs/>
          <w:color w:val="212121"/>
          <w:kern w:val="36"/>
          <w:sz w:val="48"/>
          <w:szCs w:val="48"/>
          <w:lang w:eastAsia="vi-VN"/>
        </w:rPr>
        <w:t>ụ</w:t>
      </w:r>
      <w:r w:rsidRPr="00F77F50">
        <w:rPr>
          <w:rFonts w:ascii="Georgia" w:eastAsia="Times New Roman" w:hAnsi="Georgia" w:cs="Times New Roman"/>
          <w:b/>
          <w:bCs/>
          <w:color w:val="212121"/>
          <w:kern w:val="36"/>
          <w:sz w:val="48"/>
          <w:szCs w:val="48"/>
          <w:lang w:eastAsia="vi-VN"/>
        </w:rPr>
        <w:t>ng tim m</w:t>
      </w:r>
      <w:r w:rsidRPr="00F77F50">
        <w:rPr>
          <w:rFonts w:ascii="Cambria" w:eastAsia="Times New Roman" w:hAnsi="Cambria" w:cs="Cambria"/>
          <w:b/>
          <w:bCs/>
          <w:color w:val="212121"/>
          <w:kern w:val="36"/>
          <w:sz w:val="48"/>
          <w:szCs w:val="48"/>
          <w:lang w:eastAsia="vi-VN"/>
        </w:rPr>
        <w:t>ạ</w:t>
      </w:r>
      <w:r w:rsidRPr="00F77F50">
        <w:rPr>
          <w:rFonts w:ascii="Georgia" w:eastAsia="Times New Roman" w:hAnsi="Georgia" w:cs="Times New Roman"/>
          <w:b/>
          <w:bCs/>
          <w:color w:val="212121"/>
          <w:kern w:val="36"/>
          <w:sz w:val="48"/>
          <w:szCs w:val="48"/>
          <w:lang w:eastAsia="vi-VN"/>
        </w:rPr>
        <w:t>ch c</w:t>
      </w:r>
      <w:r w:rsidRPr="00F77F50">
        <w:rPr>
          <w:rFonts w:ascii="Cambria" w:eastAsia="Times New Roman" w:hAnsi="Cambria" w:cs="Cambria"/>
          <w:b/>
          <w:bCs/>
          <w:color w:val="212121"/>
          <w:kern w:val="36"/>
          <w:sz w:val="48"/>
          <w:szCs w:val="48"/>
          <w:lang w:eastAsia="vi-VN"/>
        </w:rPr>
        <w:t>ủ</w:t>
      </w:r>
      <w:r w:rsidRPr="00F77F50">
        <w:rPr>
          <w:rFonts w:ascii="Georgia" w:eastAsia="Times New Roman" w:hAnsi="Georgia" w:cs="Times New Roman"/>
          <w:b/>
          <w:bCs/>
          <w:color w:val="212121"/>
          <w:kern w:val="36"/>
          <w:sz w:val="48"/>
          <w:szCs w:val="48"/>
          <w:lang w:eastAsia="vi-VN"/>
        </w:rPr>
        <w:t>a Liraglutide</w:t>
      </w:r>
    </w:p>
    <w:p w14:paraId="49634321" w14:textId="6BF9F342" w:rsidR="00F77F50" w:rsidRDefault="00F77F50" w:rsidP="00F77F50">
      <w:pPr>
        <w:pStyle w:val="NormalWeb"/>
        <w:shd w:val="clear" w:color="auto" w:fill="FFFFFF"/>
        <w:rPr>
          <w:rStyle w:val="Strong"/>
          <w:rFonts w:ascii="Segoe UI" w:hAnsi="Segoe UI" w:cs="Segoe UI"/>
          <w:color w:val="212121"/>
        </w:rPr>
      </w:pPr>
      <w:r>
        <w:rPr>
          <w:rFonts w:ascii="Segoe UI" w:hAnsi="Segoe UI" w:cs="Segoe UI"/>
          <w:color w:val="212121"/>
          <w:shd w:val="clear" w:color="auto" w:fill="FFFFFF"/>
          <w:lang w:val="en-US"/>
        </w:rPr>
        <w:t xml:space="preserve">Trừu tượng:  </w:t>
      </w:r>
      <w:r>
        <w:rPr>
          <w:rFonts w:ascii="Segoe UI" w:hAnsi="Segoe UI" w:cs="Segoe UI"/>
          <w:color w:val="212121"/>
          <w:shd w:val="clear" w:color="auto" w:fill="FFFFFF"/>
        </w:rPr>
        <w:t>Giảm nguy cơ tim mạch là mục đích chính của điều trị đái tháo đường týp 2. Tác dụng của các thuốc chống đái tháo đường khác nhau đối với các biến chứng tim mạch hiện đang được xem xét kỹ lưỡng. Liệu pháp dựa trên Incretin sử dụng các tác dụng của peptide giống glucagon 1 (GLP-1) hoặc kích thích thụ thể của nó bằng các chất chủ vận thụ thể GLP-1 đại diện cho một trong những phương pháp hứa hẹn nhất từ ​​quan điểm giảm nguy cơ tim mạch tiềm năng. Các nghiên cứu thực nghiệm đã chỉ ra rằng điều trị bằng chất chủ vận GLP-1 và GLP-1 giúp cải thiện chức năng nội mô, giảm huyết áp và bảo vệ cơ tim trong quá trình thiếu máu cục bộ do thực nghiệm. Các nghiên cứu lâm sàng với chất chủ vận thụ thể GLP-1 luôn cho thấy rằng, ngoài hiệu quả điều trị đái tháo đường tốt, sử dụng lâu dài còn làm giảm huyết áp, trọng lượng cơ thể và cải thiện nồng độ lipid tuần hoàn trong khi nhịp tim tăng nhẹ. Trong bài báo này, chúng tôi tập trung vào các tác động tim mạch của chất chủ vận thụ thể GLP-1 liraglutide. Phân tích sơ bộ các biến chứng tim mạch trong các thử nghiệm pha III với liraglutide cho thấy sự an toàn tốt cho tim mạch của nó. Khả năng tác dụng bảo vệ tim mạch của liraglutide vẫn còn mở và hiện đang được nghiên cứu trong một thử nghiệm tim mạch tương lai LEADER.</w:t>
      </w:r>
    </w:p>
    <w:p w14:paraId="7B7BA793" w14:textId="08D0B2AD" w:rsidR="00F77F50" w:rsidRDefault="00F77F50" w:rsidP="00F77F50">
      <w:pPr>
        <w:pStyle w:val="NormalWeb"/>
        <w:shd w:val="clear" w:color="auto" w:fill="FFFFFF"/>
        <w:rPr>
          <w:rFonts w:ascii="Segoe UI" w:hAnsi="Segoe UI" w:cs="Segoe UI"/>
          <w:color w:val="212121"/>
        </w:rPr>
      </w:pPr>
      <w:r>
        <w:rPr>
          <w:rStyle w:val="Strong"/>
          <w:rFonts w:ascii="Segoe UI" w:hAnsi="Segoe UI" w:cs="Segoe UI"/>
          <w:color w:val="212121"/>
        </w:rPr>
        <w:t>Bối cảnh: </w:t>
      </w:r>
      <w:r>
        <w:rPr>
          <w:rFonts w:ascii="Segoe UI" w:hAnsi="Segoe UI" w:cs="Segoe UI"/>
          <w:color w:val="212121"/>
        </w:rPr>
        <w:t>Liraglutide là một chất chủ vận glucagon giống như 1 (GLP-1) được phê duyệt để điều trị bệnh tiểu đường loại 2 và béo phì.</w:t>
      </w:r>
    </w:p>
    <w:p w14:paraId="51D8BF6B" w14:textId="77777777" w:rsidR="00F77F50" w:rsidRDefault="00F77F50" w:rsidP="00F77F50">
      <w:pPr>
        <w:pStyle w:val="NormalWeb"/>
        <w:shd w:val="clear" w:color="auto" w:fill="FFFFFF"/>
        <w:rPr>
          <w:rFonts w:ascii="Segoe UI" w:hAnsi="Segoe UI" w:cs="Segoe UI"/>
          <w:color w:val="212121"/>
        </w:rPr>
      </w:pPr>
      <w:r>
        <w:rPr>
          <w:rStyle w:val="Strong"/>
          <w:rFonts w:ascii="Segoe UI" w:hAnsi="Segoe UI" w:cs="Segoe UI"/>
          <w:color w:val="212121"/>
        </w:rPr>
        <w:t>Mục tiêu: </w:t>
      </w:r>
      <w:r>
        <w:rPr>
          <w:rFonts w:ascii="Segoe UI" w:hAnsi="Segoe UI" w:cs="Segoe UI"/>
          <w:color w:val="212121"/>
        </w:rPr>
        <w:t>Rà soát tác dụng tim mạch của liraglutide bao gồm các biến cố mạch máu và vi mạch, sử dụng trong suy tim và tác dụng của nó đối với nhịp tim và huyết áp.</w:t>
      </w:r>
    </w:p>
    <w:p w14:paraId="03344B69" w14:textId="77777777" w:rsidR="00F77F50" w:rsidRDefault="00F77F50" w:rsidP="00F77F50">
      <w:pPr>
        <w:pStyle w:val="NormalWeb"/>
        <w:shd w:val="clear" w:color="auto" w:fill="FFFFFF"/>
        <w:rPr>
          <w:rFonts w:ascii="Segoe UI" w:hAnsi="Segoe UI" w:cs="Segoe UI"/>
          <w:color w:val="212121"/>
        </w:rPr>
      </w:pPr>
      <w:r>
        <w:rPr>
          <w:rStyle w:val="Strong"/>
          <w:rFonts w:ascii="Segoe UI" w:hAnsi="Segoe UI" w:cs="Segoe UI"/>
          <w:color w:val="212121"/>
        </w:rPr>
        <w:t>Các kết quả: </w:t>
      </w:r>
      <w:r>
        <w:rPr>
          <w:rFonts w:ascii="Segoe UI" w:hAnsi="Segoe UI" w:cs="Segoe UI"/>
          <w:color w:val="212121"/>
        </w:rPr>
        <w:t>Tác động của liraglutide đối với kết quả tim mạch đã được kiểm tra trong một nghiên cứu lớn được công bố vào năm 2016, thử nghiệm LEADER. Nghiên cứu này bao gồm 9.340 bệnh nhân mắc bệnh tiểu đường loại 2 tiến triển và nguy cơ tim mạch cao. Kết cục chính là sự xuất hiện đầu tiên của tử vong do nguyên nhân tim mạch, nhồi máu cơ tim không gây tử vong hoặc đột quỵ không gây tử vong. Sau khi theo dõi trung bình 3,8 năm, bệnh nhân được điều trị ngẫu nhiên bằng liraglutide đã giảm đáng kể kết cục chính so với bệnh nhân được điều trị ngẫu nhiên với giả dược, tỷ lệ nguy hiểm (HR) 0,87; KTC 95% 0,78-0,97. Tử vong do nguyên nhân tim mạch đã giảm đáng kể khi điều trị bằng liraglutide (HR, 0,78; 95% CI 0,66-0,93), cũng như tử vong do mọi nguyên nhân (HR, 0,85; 95% CI 0,74-0,97). Năm 2017, Các nhà điều tra LEADER đã báo cáo rằng các biến cố bệnh thận thấp hơn đáng kể sau khi điều trị bằng liraglutide so với giả dược (HR 0,78; 95% CI 0,67-0,92), nhưng không có sự khác biệt đáng kể trong các biến cố bệnh võng mạc. Trong khi đó, các nghiên cứu khác cho rằng việc sử dụng liraglutide có thể gây hại ở những bệnh nhân bị suy tim nặng, một phần là do nhịp tim tăng.</w:t>
      </w:r>
    </w:p>
    <w:p w14:paraId="083D9EF7" w14:textId="66086572" w:rsidR="00F77F50" w:rsidRDefault="00F77F50" w:rsidP="00F77F50">
      <w:pPr>
        <w:pStyle w:val="NormalWeb"/>
        <w:shd w:val="clear" w:color="auto" w:fill="FFFFFF"/>
        <w:rPr>
          <w:rFonts w:ascii="Segoe UI" w:hAnsi="Segoe UI" w:cs="Segoe UI"/>
          <w:color w:val="212121"/>
        </w:rPr>
      </w:pPr>
      <w:r>
        <w:rPr>
          <w:rStyle w:val="Strong"/>
          <w:rFonts w:ascii="Segoe UI" w:hAnsi="Segoe UI" w:cs="Segoe UI"/>
          <w:color w:val="212121"/>
        </w:rPr>
        <w:t>Kết luận: </w:t>
      </w:r>
      <w:r>
        <w:rPr>
          <w:rFonts w:ascii="Segoe UI" w:hAnsi="Segoe UI" w:cs="Segoe UI"/>
          <w:color w:val="212121"/>
        </w:rPr>
        <w:t xml:space="preserve">Liraglutide là một liệu pháp hữu ích ở bệnh nhân tiểu đường tuýp 2 tiến triển phức tạp do bệnh tim mạch, ngoại trừ bệnh nhân bị suy tim nặng. Các nghiên </w:t>
      </w:r>
      <w:r>
        <w:rPr>
          <w:rFonts w:ascii="Segoe UI" w:hAnsi="Segoe UI" w:cs="Segoe UI"/>
          <w:color w:val="212121"/>
        </w:rPr>
        <w:lastRenderedPageBreak/>
        <w:t>cứu tiếp theo là cần thiết để đánh giá tác dụng lâu dài của liraglutide, và để xem liệu tác dụng có lợi của nó có mở rộng cho bệnh nhân tiểu đường tuýp 2 và nguy cơ tim thấp hay không.</w:t>
      </w:r>
    </w:p>
    <w:p w14:paraId="6B28AF89" w14:textId="54922CB6" w:rsidR="00F77F50" w:rsidRDefault="00F77F50" w:rsidP="00F77F50">
      <w:pPr>
        <w:pStyle w:val="NormalWeb"/>
        <w:shd w:val="clear" w:color="auto" w:fill="FFFFFF"/>
        <w:rPr>
          <w:rFonts w:ascii="Segoe UI" w:hAnsi="Segoe UI" w:cs="Segoe UI"/>
          <w:color w:val="212121"/>
        </w:rPr>
      </w:pPr>
      <w:r>
        <w:rPr>
          <w:rFonts w:ascii="Segoe UI" w:hAnsi="Segoe UI" w:cs="Segoe UI"/>
          <w:color w:val="212121"/>
          <w:shd w:val="clear" w:color="auto" w:fill="FFFFFF"/>
        </w:rPr>
        <w:t>Nhìn chung, chất chủ vận GLP-1R dường như có các đặc tính bảo vệ tim mạch thông qua việc điều chỉnh các thông số trao đổi chất như kiểm soát đường huyết, giảm cân và cải thiện huyết áp. Các nghiên cứu bổ sung được bảo đảm để so sánh kết quả tim mạch giữa các tác nhân khác nhau.</w:t>
      </w:r>
    </w:p>
    <w:p w14:paraId="6656752D" w14:textId="77777777" w:rsidR="00F77F50" w:rsidRDefault="00F77F50"/>
    <w:sectPr w:rsidR="00F77F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50"/>
    <w:rsid w:val="00F77F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6C328"/>
  <w15:chartTrackingRefBased/>
  <w15:docId w15:val="{4EA7D8A7-7F27-41BE-8A8F-EC097F40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7F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7F5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F77F50"/>
    <w:rPr>
      <w:b/>
      <w:bCs/>
    </w:rPr>
  </w:style>
  <w:style w:type="character" w:customStyle="1" w:styleId="Heading1Char">
    <w:name w:val="Heading 1 Char"/>
    <w:basedOn w:val="DefaultParagraphFont"/>
    <w:link w:val="Heading1"/>
    <w:uiPriority w:val="9"/>
    <w:rsid w:val="00F77F50"/>
    <w:rPr>
      <w:rFonts w:ascii="Times New Roman" w:eastAsia="Times New Roman" w:hAnsi="Times New Roman" w:cs="Times New Roman"/>
      <w:b/>
      <w:bCs/>
      <w:kern w:val="36"/>
      <w:sz w:val="48"/>
      <w:szCs w:val="4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6917">
      <w:bodyDiv w:val="1"/>
      <w:marLeft w:val="0"/>
      <w:marRight w:val="0"/>
      <w:marTop w:val="0"/>
      <w:marBottom w:val="0"/>
      <w:divBdr>
        <w:top w:val="none" w:sz="0" w:space="0" w:color="auto"/>
        <w:left w:val="none" w:sz="0" w:space="0" w:color="auto"/>
        <w:bottom w:val="none" w:sz="0" w:space="0" w:color="auto"/>
        <w:right w:val="none" w:sz="0" w:space="0" w:color="auto"/>
      </w:divBdr>
    </w:div>
    <w:div w:id="109001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2020-06-15T13:50:00Z</dcterms:created>
  <dcterms:modified xsi:type="dcterms:W3CDTF">2020-06-15T13:54:00Z</dcterms:modified>
</cp:coreProperties>
</file>