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94" w:rsidRPr="00336863" w:rsidRDefault="007C0494" w:rsidP="00757408">
      <w:pPr>
        <w:spacing w:line="360" w:lineRule="auto"/>
        <w:rPr>
          <w:rFonts w:cs="Times New Roman"/>
          <w:sz w:val="24"/>
          <w:szCs w:val="24"/>
        </w:rPr>
      </w:pPr>
      <w:bookmarkStart w:id="0" w:name="_GoBack"/>
      <w:bookmarkEnd w:id="0"/>
    </w:p>
    <w:p w:rsidR="007C0494" w:rsidRPr="00336863" w:rsidRDefault="007C0494" w:rsidP="00757408">
      <w:pPr>
        <w:shd w:val="clear" w:color="auto" w:fill="FFFFFF"/>
        <w:spacing w:after="0" w:line="360" w:lineRule="auto"/>
        <w:textAlignment w:val="baseline"/>
        <w:rPr>
          <w:rFonts w:eastAsia="Times New Roman" w:cs="Times New Roman"/>
          <w:color w:val="000000"/>
          <w:szCs w:val="28"/>
        </w:rPr>
      </w:pPr>
      <w:r w:rsidRPr="00336863">
        <w:rPr>
          <w:rFonts w:eastAsia="Times New Roman" w:cs="Times New Roman"/>
          <w:b/>
          <w:bCs/>
          <w:color w:val="000000"/>
          <w:szCs w:val="28"/>
          <w:bdr w:val="none" w:sz="0" w:space="0" w:color="auto" w:frame="1"/>
        </w:rPr>
        <w:t>Phương pháp trích khấu hao theo số dư giảm dần có điều chỉnh</w:t>
      </w:r>
      <w:r w:rsidRPr="007C0494">
        <w:rPr>
          <w:rFonts w:eastAsia="Times New Roman" w:cs="Times New Roman"/>
          <w:color w:val="000000"/>
          <w:szCs w:val="28"/>
        </w:rPr>
        <w:t> (hay còn gọi là khấu hao nhanh) là một trong các phương pháp ít được áp dụng tại các doanh nghiệp. Phương pháp này thường được áp dụng đối với các doanh nghiệp thuộc lĩnh vực có công nghệ đòi hỏi phải thay đổi, phát triển nhanh và TSCĐ phải thoả mãn đồng thời các điều kiện sau:</w:t>
      </w:r>
      <w:r w:rsidRPr="007C0494">
        <w:rPr>
          <w:rFonts w:eastAsia="Times New Roman" w:cs="Times New Roman"/>
          <w:color w:val="000000"/>
          <w:szCs w:val="28"/>
        </w:rPr>
        <w:br/>
        <w:t>+ Là tài sản cố định đầu tư mới (chưa qua sử dụng)</w:t>
      </w:r>
      <w:r w:rsidRPr="007C0494">
        <w:rPr>
          <w:rFonts w:eastAsia="Times New Roman" w:cs="Times New Roman"/>
          <w:color w:val="000000"/>
          <w:szCs w:val="28"/>
        </w:rPr>
        <w:br/>
        <w:t>+ Là các loại máy móc, thiết bị, dụng cụ làm việc đo lường thí nghiệm.</w:t>
      </w:r>
    </w:p>
    <w:p w:rsidR="00336863" w:rsidRPr="007C0494" w:rsidRDefault="00336863" w:rsidP="00757408">
      <w:pPr>
        <w:shd w:val="clear" w:color="auto" w:fill="FFFFFF"/>
        <w:spacing w:after="0" w:line="360" w:lineRule="auto"/>
        <w:textAlignment w:val="baseline"/>
        <w:rPr>
          <w:rFonts w:eastAsia="Times New Roman" w:cs="Times New Roman"/>
          <w:color w:val="000000"/>
          <w:szCs w:val="28"/>
        </w:rPr>
      </w:pPr>
    </w:p>
    <w:p w:rsidR="007C0494" w:rsidRPr="007C0494" w:rsidRDefault="007C0494" w:rsidP="00757408">
      <w:pPr>
        <w:shd w:val="clear" w:color="auto" w:fill="FFFFFF"/>
        <w:spacing w:after="0" w:line="360" w:lineRule="auto"/>
        <w:textAlignment w:val="baseline"/>
        <w:outlineLvl w:val="1"/>
        <w:rPr>
          <w:rFonts w:eastAsia="Times New Roman" w:cs="Times New Roman"/>
          <w:b/>
          <w:bCs/>
          <w:color w:val="D11920"/>
          <w:szCs w:val="28"/>
        </w:rPr>
      </w:pPr>
      <w:r w:rsidRPr="007C0494">
        <w:rPr>
          <w:rFonts w:eastAsia="Times New Roman" w:cs="Times New Roman"/>
          <w:b/>
          <w:bCs/>
          <w:color w:val="D11920"/>
          <w:szCs w:val="28"/>
          <w:bdr w:val="none" w:sz="0" w:space="0" w:color="auto" w:frame="1"/>
        </w:rPr>
        <w:t>1. Cách xác định mức khấu hao theo phương pháp trích khấu hao theo số dư giảm dần có điều chỉnh (khấu hao nhanh)</w:t>
      </w:r>
    </w:p>
    <w:p w:rsidR="007C0494" w:rsidRPr="007C0494" w:rsidRDefault="007C0494" w:rsidP="00757408">
      <w:pPr>
        <w:shd w:val="clear" w:color="auto" w:fill="FFFFFF"/>
        <w:spacing w:after="0" w:line="360" w:lineRule="auto"/>
        <w:jc w:val="center"/>
        <w:textAlignment w:val="baseline"/>
        <w:rPr>
          <w:rFonts w:eastAsia="Times New Roman" w:cs="Times New Roman"/>
          <w:color w:val="000000"/>
          <w:sz w:val="24"/>
          <w:szCs w:val="24"/>
        </w:rPr>
      </w:pPr>
      <w:r w:rsidRPr="00336863">
        <w:rPr>
          <w:rFonts w:eastAsia="Times New Roman" w:cs="Times New Roman"/>
          <w:noProof/>
          <w:color w:val="19232D"/>
          <w:sz w:val="24"/>
          <w:szCs w:val="24"/>
          <w:bdr w:val="none" w:sz="0" w:space="0" w:color="auto" w:frame="1"/>
        </w:rPr>
        <w:drawing>
          <wp:inline distT="0" distB="0" distL="0" distR="0" wp14:anchorId="0CD42FA5" wp14:editId="4334800B">
            <wp:extent cx="5986145" cy="4210685"/>
            <wp:effectExtent l="0" t="0" r="0" b="0"/>
            <wp:docPr id="5" name="Picture 5" descr="Phương pháp trích khấu hao theo số dư giảm dần có điều chỉn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ương pháp trích khấu hao theo số dư giảm dần có điều chỉn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145" cy="4210685"/>
                    </a:xfrm>
                    <a:prstGeom prst="rect">
                      <a:avLst/>
                    </a:prstGeom>
                    <a:noFill/>
                    <a:ln>
                      <a:noFill/>
                    </a:ln>
                  </pic:spPr>
                </pic:pic>
              </a:graphicData>
            </a:graphic>
          </wp:inline>
        </w:drawing>
      </w:r>
    </w:p>
    <w:p w:rsidR="007C0494" w:rsidRPr="007C0494" w:rsidRDefault="007C0494" w:rsidP="00757408">
      <w:pPr>
        <w:shd w:val="clear" w:color="auto" w:fill="FFFFFF"/>
        <w:spacing w:after="446" w:line="360" w:lineRule="auto"/>
        <w:textAlignment w:val="baseline"/>
        <w:rPr>
          <w:rFonts w:eastAsia="Times New Roman" w:cs="Times New Roman"/>
          <w:color w:val="000000"/>
          <w:szCs w:val="28"/>
        </w:rPr>
      </w:pPr>
      <w:r w:rsidRPr="007C0494">
        <w:rPr>
          <w:rFonts w:eastAsia="Times New Roman" w:cs="Times New Roman"/>
          <w:color w:val="000000"/>
          <w:szCs w:val="28"/>
        </w:rPr>
        <w:lastRenderedPageBreak/>
        <w:t>Đến những năm cuối, khi mức khấu hao năm xác định theo phương pháp số dư giảm dần bằng (hoặc thấp hơn) mức khấu hao bình quân giữa giá trị còn lại và số năm sử dụng còn lại của tài sản cố định, thì kể từ năm đó mức khấu hao tài sản cố định được tính bằng giá trị còn lại của tài sản cố định chia cho số năm sử dụng còn lại của tài sản cố định.</w:t>
      </w:r>
    </w:p>
    <w:p w:rsidR="007C0494" w:rsidRPr="007C0494" w:rsidRDefault="007C0494" w:rsidP="00757408">
      <w:pPr>
        <w:shd w:val="clear" w:color="auto" w:fill="FFFFFF"/>
        <w:spacing w:after="0" w:line="360" w:lineRule="auto"/>
        <w:textAlignment w:val="baseline"/>
        <w:outlineLvl w:val="2"/>
        <w:rPr>
          <w:rFonts w:eastAsia="Times New Roman" w:cs="Times New Roman"/>
          <w:b/>
          <w:bCs/>
          <w:color w:val="D11920"/>
          <w:szCs w:val="28"/>
        </w:rPr>
      </w:pPr>
      <w:r w:rsidRPr="007C0494">
        <w:rPr>
          <w:rFonts w:eastAsia="Times New Roman" w:cs="Times New Roman"/>
          <w:b/>
          <w:bCs/>
          <w:color w:val="D11920"/>
          <w:szCs w:val="28"/>
          <w:bdr w:val="none" w:sz="0" w:space="0" w:color="auto" w:frame="1"/>
        </w:rPr>
        <w:t>Ví dụ về phương pháp trích khấu hao theo số dư giảm dần có điều chỉnh:</w:t>
      </w:r>
    </w:p>
    <w:p w:rsidR="007C0494" w:rsidRPr="007C0494" w:rsidRDefault="007C0494" w:rsidP="00757408">
      <w:pPr>
        <w:shd w:val="clear" w:color="auto" w:fill="FFFFFF"/>
        <w:spacing w:after="0" w:line="360" w:lineRule="auto"/>
        <w:textAlignment w:val="baseline"/>
        <w:rPr>
          <w:rFonts w:eastAsia="Times New Roman" w:cs="Times New Roman"/>
          <w:color w:val="000000"/>
          <w:szCs w:val="28"/>
        </w:rPr>
      </w:pPr>
      <w:r w:rsidRPr="007C0494">
        <w:rPr>
          <w:rFonts w:eastAsia="Times New Roman" w:cs="Times New Roman"/>
          <w:color w:val="000000"/>
          <w:szCs w:val="28"/>
        </w:rPr>
        <w:t xml:space="preserve">+ </w:t>
      </w:r>
      <w:r w:rsidR="00336863">
        <w:rPr>
          <w:rFonts w:eastAsia="Times New Roman" w:cs="Times New Roman"/>
          <w:color w:val="000000"/>
          <w:szCs w:val="28"/>
        </w:rPr>
        <w:t xml:space="preserve">Công ty X </w:t>
      </w:r>
      <w:r w:rsidRPr="007C0494">
        <w:rPr>
          <w:rFonts w:eastAsia="Times New Roman" w:cs="Times New Roman"/>
          <w:color w:val="000000"/>
          <w:szCs w:val="28"/>
        </w:rPr>
        <w:t xml:space="preserve">mua 1 </w:t>
      </w:r>
      <w:r w:rsidR="00336863">
        <w:rPr>
          <w:rFonts w:eastAsia="Times New Roman" w:cs="Times New Roman"/>
          <w:color w:val="000000"/>
          <w:szCs w:val="28"/>
        </w:rPr>
        <w:t>máy sản xuất</w:t>
      </w:r>
      <w:r w:rsidRPr="007C0494">
        <w:rPr>
          <w:rFonts w:eastAsia="Times New Roman" w:cs="Times New Roman"/>
          <w:color w:val="000000"/>
          <w:szCs w:val="28"/>
        </w:rPr>
        <w:t xml:space="preserve"> mới với nguyên giá là 100 triệu đồng.</w:t>
      </w:r>
      <w:r w:rsidRPr="007C0494">
        <w:rPr>
          <w:rFonts w:eastAsia="Times New Roman" w:cs="Times New Roman"/>
          <w:color w:val="000000"/>
          <w:szCs w:val="28"/>
        </w:rPr>
        <w:br/>
        <w:t>+ Thời gian sử dụng của TSCĐ này là 5 năm.</w:t>
      </w:r>
      <w:r w:rsidRPr="007C0494">
        <w:rPr>
          <w:rFonts w:eastAsia="Times New Roman" w:cs="Times New Roman"/>
          <w:color w:val="000000"/>
          <w:szCs w:val="28"/>
        </w:rPr>
        <w:br/>
        <w:t>Tỷ lệ khấu hao hàng năm của TSCĐ theo phương pháp khấu hao đường thẳng là:</w:t>
      </w:r>
      <w:r w:rsidRPr="007C0494">
        <w:rPr>
          <w:rFonts w:eastAsia="Times New Roman" w:cs="Times New Roman"/>
          <w:color w:val="000000"/>
          <w:szCs w:val="28"/>
        </w:rPr>
        <w:br/>
        <w:t>= 1 / 5 x 100 = 20%</w:t>
      </w:r>
      <w:r w:rsidRPr="007C0494">
        <w:rPr>
          <w:rFonts w:eastAsia="Times New Roman" w:cs="Times New Roman"/>
          <w:color w:val="000000"/>
          <w:szCs w:val="28"/>
        </w:rPr>
        <w:br/>
        <w:t>Tỷ lệ khấu hao nhanh theo phương pháp số dư giảm dần có điều chỉnh</w:t>
      </w:r>
      <w:r w:rsidRPr="007C0494">
        <w:rPr>
          <w:rFonts w:eastAsia="Times New Roman" w:cs="Times New Roman"/>
          <w:color w:val="000000"/>
          <w:szCs w:val="28"/>
        </w:rPr>
        <w:br/>
        <w:t>= 20% x 2 (hệ số điều chỉnh) = 40%</w:t>
      </w:r>
      <w:r w:rsidRPr="007C0494">
        <w:rPr>
          <w:rFonts w:eastAsia="Times New Roman" w:cs="Times New Roman"/>
          <w:color w:val="000000"/>
          <w:szCs w:val="28"/>
        </w:rPr>
        <w:br/>
        <w:t>(Vì thời gian sử dụng là 5 năm, nằm trong khoảng 4 – 6 năm của bảng hệ số điều chỉnh, nên hệ số điều chỉnh = 2)</w:t>
      </w:r>
      <w:r w:rsidRPr="007C0494">
        <w:rPr>
          <w:rFonts w:eastAsia="Times New Roman" w:cs="Times New Roman"/>
          <w:color w:val="000000"/>
          <w:szCs w:val="28"/>
        </w:rPr>
        <w:br/>
        <w:t>Mức trích khấu hao hàng năm của TSCĐ trên được xác định cụ thể theo bảng dưới đây:</w:t>
      </w:r>
    </w:p>
    <w:p w:rsidR="007C0494" w:rsidRPr="007C0494" w:rsidRDefault="007C0494" w:rsidP="00757408">
      <w:pPr>
        <w:shd w:val="clear" w:color="auto" w:fill="FFFFFF"/>
        <w:spacing w:after="0" w:line="360" w:lineRule="auto"/>
        <w:ind w:hanging="990"/>
        <w:textAlignment w:val="baseline"/>
        <w:rPr>
          <w:rFonts w:eastAsia="Times New Roman" w:cs="Times New Roman"/>
          <w:color w:val="000000"/>
          <w:sz w:val="24"/>
          <w:szCs w:val="24"/>
        </w:rPr>
      </w:pPr>
      <w:r w:rsidRPr="00336863">
        <w:rPr>
          <w:rFonts w:eastAsia="Times New Roman" w:cs="Times New Roman"/>
          <w:noProof/>
          <w:color w:val="19232D"/>
          <w:sz w:val="24"/>
          <w:szCs w:val="24"/>
          <w:bdr w:val="none" w:sz="0" w:space="0" w:color="auto" w:frame="1"/>
        </w:rPr>
        <w:drawing>
          <wp:inline distT="0" distB="0" distL="0" distR="0" wp14:anchorId="5020FB30" wp14:editId="1C514E6F">
            <wp:extent cx="7485380" cy="2604770"/>
            <wp:effectExtent l="0" t="0" r="1270" b="5080"/>
            <wp:docPr id="4" name="Picture 4" descr="Phương pháp trích khấu hao theo số dư giảm dần có điều chỉn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pháp trích khấu hao theo số dư giảm dần có điều chỉn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5380" cy="2604770"/>
                    </a:xfrm>
                    <a:prstGeom prst="rect">
                      <a:avLst/>
                    </a:prstGeom>
                    <a:noFill/>
                    <a:ln>
                      <a:noFill/>
                    </a:ln>
                  </pic:spPr>
                </pic:pic>
              </a:graphicData>
            </a:graphic>
          </wp:inline>
        </w:drawing>
      </w:r>
    </w:p>
    <w:p w:rsidR="007C0494" w:rsidRPr="007C0494" w:rsidRDefault="007C0494" w:rsidP="00757408">
      <w:pPr>
        <w:shd w:val="clear" w:color="auto" w:fill="FFFFFF"/>
        <w:spacing w:line="360" w:lineRule="auto"/>
        <w:ind w:right="150"/>
        <w:jc w:val="center"/>
        <w:textAlignment w:val="baseline"/>
        <w:rPr>
          <w:rFonts w:eastAsia="Times New Roman" w:cs="Times New Roman"/>
          <w:i/>
          <w:iCs/>
          <w:color w:val="000000"/>
          <w:sz w:val="24"/>
          <w:szCs w:val="24"/>
        </w:rPr>
      </w:pPr>
      <w:hyperlink r:id="rId13" w:tooltip="Phương pháp trích khấu hao theo số dư giảm dần có điều chỉnh" w:history="1">
        <w:r w:rsidRPr="00336863">
          <w:rPr>
            <w:rFonts w:eastAsia="Times New Roman" w:cs="Times New Roman"/>
            <w:i/>
            <w:iCs/>
            <w:color w:val="19232D"/>
            <w:sz w:val="24"/>
            <w:szCs w:val="24"/>
            <w:bdr w:val="none" w:sz="0" w:space="0" w:color="auto" w:frame="1"/>
          </w:rPr>
          <w:t>Phương pháp trích khấu hao theo số dư giảm dần có điều chỉnh</w:t>
        </w:r>
      </w:hyperlink>
    </w:p>
    <w:p w:rsidR="007C0494" w:rsidRPr="007C0494" w:rsidRDefault="007C0494" w:rsidP="00757408">
      <w:pPr>
        <w:shd w:val="clear" w:color="auto" w:fill="FFFFFF"/>
        <w:spacing w:after="0" w:line="360" w:lineRule="auto"/>
        <w:textAlignment w:val="baseline"/>
        <w:rPr>
          <w:rFonts w:eastAsia="Times New Roman" w:cs="Times New Roman"/>
          <w:color w:val="000000"/>
          <w:szCs w:val="24"/>
        </w:rPr>
      </w:pPr>
      <w:r w:rsidRPr="00757408">
        <w:rPr>
          <w:rFonts w:eastAsia="Times New Roman" w:cs="Times New Roman"/>
          <w:b/>
          <w:bCs/>
          <w:color w:val="000000"/>
          <w:szCs w:val="24"/>
          <w:bdr w:val="none" w:sz="0" w:space="0" w:color="auto" w:frame="1"/>
        </w:rPr>
        <w:lastRenderedPageBreak/>
        <w:t>Trong đó:</w:t>
      </w:r>
      <w:r w:rsidRPr="007C0494">
        <w:rPr>
          <w:rFonts w:eastAsia="Times New Roman" w:cs="Times New Roman"/>
          <w:color w:val="000000"/>
          <w:szCs w:val="24"/>
        </w:rPr>
        <w:br/>
        <w:t>+ Từ năm thứ 1 đến thứ 3 ta thấy mức khấu hao tính theo phương pháp trích khấu hao theo số dư giảm dần có điều chỉnh lớn hơn mức khấu hao tính theo phương pháp đường thẳng trên giá trị còn lại (so sánh cột 4 và cột 8)</w:t>
      </w:r>
      <w:r w:rsidRPr="007C0494">
        <w:rPr>
          <w:rFonts w:eastAsia="Times New Roman" w:cs="Times New Roman"/>
          <w:color w:val="000000"/>
          <w:szCs w:val="24"/>
        </w:rPr>
        <w:br/>
        <w:t>Do vậy mức khấu hao tài sản cố định từ năm thứ nhất đến hết năm thứ 3 được tính bằng giá trị còn lại của tài sản cố định nhân với tỷ lệ khấu hao nhanh (40%).</w:t>
      </w:r>
      <w:r w:rsidRPr="007C0494">
        <w:rPr>
          <w:rFonts w:eastAsia="Times New Roman" w:cs="Times New Roman"/>
          <w:color w:val="000000"/>
          <w:szCs w:val="24"/>
        </w:rPr>
        <w:br/>
        <w:t>+ Đến năm thứ 4 ta thấy mức khấu hao tính theo phương pháp trích khấu hao theo số dư giảm dần có điều chỉnh = 21.600.000đ x 40% = 8.640.000đ nhỏ hơn mức khấu hao bình quân giữa giá trị còn lại và số năm sử dụng còn lại (21.600.000đ : 2 năm = 10.800.000đ)</w:t>
      </w:r>
      <w:r w:rsidRPr="007C0494">
        <w:rPr>
          <w:rFonts w:eastAsia="Times New Roman" w:cs="Times New Roman"/>
          <w:color w:val="000000"/>
          <w:szCs w:val="24"/>
        </w:rPr>
        <w:br/>
        <w:t>Do vậy từ năm thứ 4 trở đi mức khấu hao năm được tính bằng cách lấy giá trị còn lại / (chia) số năm sử dụng còn lại của tài sản cố định.</w:t>
      </w:r>
    </w:p>
    <w:p w:rsidR="007C0494" w:rsidRPr="007C0494" w:rsidRDefault="007C0494" w:rsidP="00757408">
      <w:pPr>
        <w:shd w:val="clear" w:color="auto" w:fill="FFFFFF"/>
        <w:spacing w:after="0" w:line="360" w:lineRule="auto"/>
        <w:textAlignment w:val="baseline"/>
        <w:rPr>
          <w:rFonts w:eastAsia="Times New Roman" w:cs="Times New Roman"/>
          <w:color w:val="000000"/>
          <w:szCs w:val="24"/>
        </w:rPr>
      </w:pPr>
      <w:r w:rsidRPr="00757408">
        <w:rPr>
          <w:rFonts w:eastAsia="Times New Roman" w:cs="Times New Roman"/>
          <w:b/>
          <w:bCs/>
          <w:color w:val="000000"/>
          <w:szCs w:val="24"/>
          <w:bdr w:val="none" w:sz="0" w:space="0" w:color="auto" w:frame="1"/>
        </w:rPr>
        <w:t>2. Những ưu, nhược điểm của phương pháp trích khấu hao theo số dư giảm dần có điều chỉnh:</w:t>
      </w:r>
      <w:r w:rsidRPr="007C0494">
        <w:rPr>
          <w:rFonts w:eastAsia="Times New Roman" w:cs="Times New Roman"/>
          <w:color w:val="000000"/>
          <w:szCs w:val="24"/>
        </w:rPr>
        <w:br/>
      </w:r>
      <w:r w:rsidRPr="00757408">
        <w:rPr>
          <w:rFonts w:eastAsia="Times New Roman" w:cs="Times New Roman"/>
          <w:b/>
          <w:bCs/>
          <w:color w:val="000000"/>
          <w:szCs w:val="24"/>
          <w:bdr w:val="none" w:sz="0" w:space="0" w:color="auto" w:frame="1"/>
        </w:rPr>
        <w:t>+ Ưu điểm:</w:t>
      </w:r>
      <w:r w:rsidRPr="007C0494">
        <w:rPr>
          <w:rFonts w:eastAsia="Times New Roman" w:cs="Times New Roman"/>
          <w:color w:val="000000"/>
          <w:szCs w:val="24"/>
        </w:rPr>
        <w:t> Thu hồi vốn nhanh, hạn chế được sự mất giá do hao mòn vô hình gây ra. Do thu hồi vốn nhanh vì vậy sẽ làm giảm thuế thu nhập doanh nghiệp.</w:t>
      </w:r>
      <w:r w:rsidRPr="007C0494">
        <w:rPr>
          <w:rFonts w:eastAsia="Times New Roman" w:cs="Times New Roman"/>
          <w:color w:val="000000"/>
          <w:szCs w:val="24"/>
        </w:rPr>
        <w:br/>
      </w:r>
      <w:r w:rsidRPr="00757408">
        <w:rPr>
          <w:rFonts w:eastAsia="Times New Roman" w:cs="Times New Roman"/>
          <w:b/>
          <w:bCs/>
          <w:color w:val="000000"/>
          <w:szCs w:val="24"/>
          <w:bdr w:val="none" w:sz="0" w:space="0" w:color="auto" w:frame="1"/>
        </w:rPr>
        <w:t>+ Nhược điểm: </w:t>
      </w:r>
      <w:r w:rsidRPr="007C0494">
        <w:rPr>
          <w:rFonts w:eastAsia="Times New Roman" w:cs="Times New Roman"/>
          <w:color w:val="000000"/>
          <w:szCs w:val="24"/>
        </w:rPr>
        <w:t>Đối với những sản phẩm hoặc loại hình kinh doanh mà tiêu thụ chậm sẽ làm ảnh hưởng đến kết quả kinh doanh của doanh nghiệp. Vì vậy TSCĐ hoạt động phải đạt năng suất cao.</w:t>
      </w:r>
    </w:p>
    <w:p w:rsidR="007C0494" w:rsidRPr="00757408" w:rsidRDefault="007C0494" w:rsidP="00757408">
      <w:pPr>
        <w:spacing w:line="360" w:lineRule="auto"/>
        <w:rPr>
          <w:rFonts w:cs="Times New Roman"/>
          <w:szCs w:val="24"/>
        </w:rPr>
      </w:pPr>
    </w:p>
    <w:sectPr w:rsidR="007C0494" w:rsidRPr="00757408" w:rsidSect="000E7554">
      <w:pgSz w:w="12240" w:h="15840" w:code="1"/>
      <w:pgMar w:top="1440" w:right="1440" w:bottom="1440" w:left="129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F2" w:rsidRDefault="008746F2" w:rsidP="007C0494">
      <w:pPr>
        <w:spacing w:after="0" w:line="240" w:lineRule="auto"/>
      </w:pPr>
      <w:r>
        <w:separator/>
      </w:r>
    </w:p>
  </w:endnote>
  <w:endnote w:type="continuationSeparator" w:id="0">
    <w:p w:rsidR="008746F2" w:rsidRDefault="008746F2" w:rsidP="007C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F2" w:rsidRDefault="008746F2" w:rsidP="007C0494">
      <w:pPr>
        <w:spacing w:after="0" w:line="240" w:lineRule="auto"/>
      </w:pPr>
      <w:r>
        <w:separator/>
      </w:r>
    </w:p>
  </w:footnote>
  <w:footnote w:type="continuationSeparator" w:id="0">
    <w:p w:rsidR="008746F2" w:rsidRDefault="008746F2" w:rsidP="007C0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B3C"/>
    <w:multiLevelType w:val="hybridMultilevel"/>
    <w:tmpl w:val="8850EB1E"/>
    <w:lvl w:ilvl="0" w:tplc="A5D8D1F8">
      <w:start w:val="1"/>
      <w:numFmt w:val="bullet"/>
      <w:lvlText w:val=""/>
      <w:lvlJc w:val="left"/>
      <w:pPr>
        <w:tabs>
          <w:tab w:val="num" w:pos="720"/>
        </w:tabs>
        <w:ind w:left="720" w:hanging="360"/>
      </w:pPr>
      <w:rPr>
        <w:rFonts w:ascii="Wingdings" w:hAnsi="Wingdings" w:hint="default"/>
      </w:rPr>
    </w:lvl>
    <w:lvl w:ilvl="1" w:tplc="A4969BF2" w:tentative="1">
      <w:start w:val="1"/>
      <w:numFmt w:val="bullet"/>
      <w:lvlText w:val=""/>
      <w:lvlJc w:val="left"/>
      <w:pPr>
        <w:tabs>
          <w:tab w:val="num" w:pos="1440"/>
        </w:tabs>
        <w:ind w:left="1440" w:hanging="360"/>
      </w:pPr>
      <w:rPr>
        <w:rFonts w:ascii="Wingdings" w:hAnsi="Wingdings" w:hint="default"/>
      </w:rPr>
    </w:lvl>
    <w:lvl w:ilvl="2" w:tplc="2BEA224A" w:tentative="1">
      <w:start w:val="1"/>
      <w:numFmt w:val="bullet"/>
      <w:lvlText w:val=""/>
      <w:lvlJc w:val="left"/>
      <w:pPr>
        <w:tabs>
          <w:tab w:val="num" w:pos="2160"/>
        </w:tabs>
        <w:ind w:left="2160" w:hanging="360"/>
      </w:pPr>
      <w:rPr>
        <w:rFonts w:ascii="Wingdings" w:hAnsi="Wingdings" w:hint="default"/>
      </w:rPr>
    </w:lvl>
    <w:lvl w:ilvl="3" w:tplc="BAE0BF00" w:tentative="1">
      <w:start w:val="1"/>
      <w:numFmt w:val="bullet"/>
      <w:lvlText w:val=""/>
      <w:lvlJc w:val="left"/>
      <w:pPr>
        <w:tabs>
          <w:tab w:val="num" w:pos="2880"/>
        </w:tabs>
        <w:ind w:left="2880" w:hanging="360"/>
      </w:pPr>
      <w:rPr>
        <w:rFonts w:ascii="Wingdings" w:hAnsi="Wingdings" w:hint="default"/>
      </w:rPr>
    </w:lvl>
    <w:lvl w:ilvl="4" w:tplc="EB2CB012" w:tentative="1">
      <w:start w:val="1"/>
      <w:numFmt w:val="bullet"/>
      <w:lvlText w:val=""/>
      <w:lvlJc w:val="left"/>
      <w:pPr>
        <w:tabs>
          <w:tab w:val="num" w:pos="3600"/>
        </w:tabs>
        <w:ind w:left="3600" w:hanging="360"/>
      </w:pPr>
      <w:rPr>
        <w:rFonts w:ascii="Wingdings" w:hAnsi="Wingdings" w:hint="default"/>
      </w:rPr>
    </w:lvl>
    <w:lvl w:ilvl="5" w:tplc="22522054" w:tentative="1">
      <w:start w:val="1"/>
      <w:numFmt w:val="bullet"/>
      <w:lvlText w:val=""/>
      <w:lvlJc w:val="left"/>
      <w:pPr>
        <w:tabs>
          <w:tab w:val="num" w:pos="4320"/>
        </w:tabs>
        <w:ind w:left="4320" w:hanging="360"/>
      </w:pPr>
      <w:rPr>
        <w:rFonts w:ascii="Wingdings" w:hAnsi="Wingdings" w:hint="default"/>
      </w:rPr>
    </w:lvl>
    <w:lvl w:ilvl="6" w:tplc="9FBEBFE8" w:tentative="1">
      <w:start w:val="1"/>
      <w:numFmt w:val="bullet"/>
      <w:lvlText w:val=""/>
      <w:lvlJc w:val="left"/>
      <w:pPr>
        <w:tabs>
          <w:tab w:val="num" w:pos="5040"/>
        </w:tabs>
        <w:ind w:left="5040" w:hanging="360"/>
      </w:pPr>
      <w:rPr>
        <w:rFonts w:ascii="Wingdings" w:hAnsi="Wingdings" w:hint="default"/>
      </w:rPr>
    </w:lvl>
    <w:lvl w:ilvl="7" w:tplc="B96AB9A2" w:tentative="1">
      <w:start w:val="1"/>
      <w:numFmt w:val="bullet"/>
      <w:lvlText w:val=""/>
      <w:lvlJc w:val="left"/>
      <w:pPr>
        <w:tabs>
          <w:tab w:val="num" w:pos="5760"/>
        </w:tabs>
        <w:ind w:left="5760" w:hanging="360"/>
      </w:pPr>
      <w:rPr>
        <w:rFonts w:ascii="Wingdings" w:hAnsi="Wingdings" w:hint="default"/>
      </w:rPr>
    </w:lvl>
    <w:lvl w:ilvl="8" w:tplc="FB708D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2D"/>
    <w:rsid w:val="000E7554"/>
    <w:rsid w:val="00230FEE"/>
    <w:rsid w:val="00336863"/>
    <w:rsid w:val="004F052D"/>
    <w:rsid w:val="0058044E"/>
    <w:rsid w:val="00757408"/>
    <w:rsid w:val="007C0494"/>
    <w:rsid w:val="0087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04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C049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94"/>
  </w:style>
  <w:style w:type="paragraph" w:styleId="Footer">
    <w:name w:val="footer"/>
    <w:basedOn w:val="Normal"/>
    <w:link w:val="FooterChar"/>
    <w:uiPriority w:val="99"/>
    <w:unhideWhenUsed/>
    <w:rsid w:val="007C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94"/>
  </w:style>
  <w:style w:type="character" w:customStyle="1" w:styleId="Heading2Char">
    <w:name w:val="Heading 2 Char"/>
    <w:basedOn w:val="DefaultParagraphFont"/>
    <w:link w:val="Heading2"/>
    <w:uiPriority w:val="9"/>
    <w:rsid w:val="007C0494"/>
    <w:rPr>
      <w:rFonts w:eastAsia="Times New Roman" w:cs="Times New Roman"/>
      <w:b/>
      <w:bCs/>
      <w:sz w:val="36"/>
      <w:szCs w:val="36"/>
    </w:rPr>
  </w:style>
  <w:style w:type="character" w:customStyle="1" w:styleId="Heading3Char">
    <w:name w:val="Heading 3 Char"/>
    <w:basedOn w:val="DefaultParagraphFont"/>
    <w:link w:val="Heading3"/>
    <w:uiPriority w:val="9"/>
    <w:rsid w:val="007C0494"/>
    <w:rPr>
      <w:rFonts w:eastAsia="Times New Roman" w:cs="Times New Roman"/>
      <w:b/>
      <w:bCs/>
      <w:sz w:val="27"/>
      <w:szCs w:val="27"/>
    </w:rPr>
  </w:style>
  <w:style w:type="paragraph" w:styleId="NormalWeb">
    <w:name w:val="Normal (Web)"/>
    <w:basedOn w:val="Normal"/>
    <w:uiPriority w:val="99"/>
    <w:semiHidden/>
    <w:unhideWhenUsed/>
    <w:rsid w:val="007C04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0494"/>
    <w:rPr>
      <w:b/>
      <w:bCs/>
    </w:rPr>
  </w:style>
  <w:style w:type="paragraph" w:customStyle="1" w:styleId="wp-caption-text">
    <w:name w:val="wp-caption-text"/>
    <w:basedOn w:val="Normal"/>
    <w:rsid w:val="007C049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C0494"/>
    <w:rPr>
      <w:i/>
      <w:iCs/>
    </w:rPr>
  </w:style>
  <w:style w:type="paragraph" w:styleId="BalloonText">
    <w:name w:val="Balloon Text"/>
    <w:basedOn w:val="Normal"/>
    <w:link w:val="BalloonTextChar"/>
    <w:uiPriority w:val="99"/>
    <w:semiHidden/>
    <w:unhideWhenUsed/>
    <w:rsid w:val="007C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04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C049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94"/>
  </w:style>
  <w:style w:type="paragraph" w:styleId="Footer">
    <w:name w:val="footer"/>
    <w:basedOn w:val="Normal"/>
    <w:link w:val="FooterChar"/>
    <w:uiPriority w:val="99"/>
    <w:unhideWhenUsed/>
    <w:rsid w:val="007C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94"/>
  </w:style>
  <w:style w:type="character" w:customStyle="1" w:styleId="Heading2Char">
    <w:name w:val="Heading 2 Char"/>
    <w:basedOn w:val="DefaultParagraphFont"/>
    <w:link w:val="Heading2"/>
    <w:uiPriority w:val="9"/>
    <w:rsid w:val="007C0494"/>
    <w:rPr>
      <w:rFonts w:eastAsia="Times New Roman" w:cs="Times New Roman"/>
      <w:b/>
      <w:bCs/>
      <w:sz w:val="36"/>
      <w:szCs w:val="36"/>
    </w:rPr>
  </w:style>
  <w:style w:type="character" w:customStyle="1" w:styleId="Heading3Char">
    <w:name w:val="Heading 3 Char"/>
    <w:basedOn w:val="DefaultParagraphFont"/>
    <w:link w:val="Heading3"/>
    <w:uiPriority w:val="9"/>
    <w:rsid w:val="007C0494"/>
    <w:rPr>
      <w:rFonts w:eastAsia="Times New Roman" w:cs="Times New Roman"/>
      <w:b/>
      <w:bCs/>
      <w:sz w:val="27"/>
      <w:szCs w:val="27"/>
    </w:rPr>
  </w:style>
  <w:style w:type="paragraph" w:styleId="NormalWeb">
    <w:name w:val="Normal (Web)"/>
    <w:basedOn w:val="Normal"/>
    <w:uiPriority w:val="99"/>
    <w:semiHidden/>
    <w:unhideWhenUsed/>
    <w:rsid w:val="007C04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0494"/>
    <w:rPr>
      <w:b/>
      <w:bCs/>
    </w:rPr>
  </w:style>
  <w:style w:type="paragraph" w:customStyle="1" w:styleId="wp-caption-text">
    <w:name w:val="wp-caption-text"/>
    <w:basedOn w:val="Normal"/>
    <w:rsid w:val="007C049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C0494"/>
    <w:rPr>
      <w:i/>
      <w:iCs/>
    </w:rPr>
  </w:style>
  <w:style w:type="paragraph" w:styleId="BalloonText">
    <w:name w:val="Balloon Text"/>
    <w:basedOn w:val="Normal"/>
    <w:link w:val="BalloonTextChar"/>
    <w:uiPriority w:val="99"/>
    <w:semiHidden/>
    <w:unhideWhenUsed/>
    <w:rsid w:val="007C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90987">
      <w:bodyDiv w:val="1"/>
      <w:marLeft w:val="0"/>
      <w:marRight w:val="0"/>
      <w:marTop w:val="0"/>
      <w:marBottom w:val="0"/>
      <w:divBdr>
        <w:top w:val="none" w:sz="0" w:space="0" w:color="auto"/>
        <w:left w:val="none" w:sz="0" w:space="0" w:color="auto"/>
        <w:bottom w:val="none" w:sz="0" w:space="0" w:color="auto"/>
        <w:right w:val="none" w:sz="0" w:space="0" w:color="auto"/>
      </w:divBdr>
      <w:divsChild>
        <w:div w:id="1040200661">
          <w:marLeft w:val="547"/>
          <w:marRight w:val="0"/>
          <w:marTop w:val="154"/>
          <w:marBottom w:val="0"/>
          <w:divBdr>
            <w:top w:val="none" w:sz="0" w:space="0" w:color="auto"/>
            <w:left w:val="none" w:sz="0" w:space="0" w:color="auto"/>
            <w:bottom w:val="none" w:sz="0" w:space="0" w:color="auto"/>
            <w:right w:val="none" w:sz="0" w:space="0" w:color="auto"/>
          </w:divBdr>
        </w:div>
        <w:div w:id="803617128">
          <w:marLeft w:val="547"/>
          <w:marRight w:val="0"/>
          <w:marTop w:val="154"/>
          <w:marBottom w:val="0"/>
          <w:divBdr>
            <w:top w:val="none" w:sz="0" w:space="0" w:color="auto"/>
            <w:left w:val="none" w:sz="0" w:space="0" w:color="auto"/>
            <w:bottom w:val="none" w:sz="0" w:space="0" w:color="auto"/>
            <w:right w:val="none" w:sz="0" w:space="0" w:color="auto"/>
          </w:divBdr>
        </w:div>
        <w:div w:id="669405484">
          <w:marLeft w:val="547"/>
          <w:marRight w:val="0"/>
          <w:marTop w:val="154"/>
          <w:marBottom w:val="0"/>
          <w:divBdr>
            <w:top w:val="none" w:sz="0" w:space="0" w:color="auto"/>
            <w:left w:val="none" w:sz="0" w:space="0" w:color="auto"/>
            <w:bottom w:val="none" w:sz="0" w:space="0" w:color="auto"/>
            <w:right w:val="none" w:sz="0" w:space="0" w:color="auto"/>
          </w:divBdr>
        </w:div>
      </w:divsChild>
    </w:div>
    <w:div w:id="714280319">
      <w:bodyDiv w:val="1"/>
      <w:marLeft w:val="0"/>
      <w:marRight w:val="0"/>
      <w:marTop w:val="0"/>
      <w:marBottom w:val="0"/>
      <w:divBdr>
        <w:top w:val="none" w:sz="0" w:space="0" w:color="auto"/>
        <w:left w:val="none" w:sz="0" w:space="0" w:color="auto"/>
        <w:bottom w:val="none" w:sz="0" w:space="0" w:color="auto"/>
        <w:right w:val="none" w:sz="0" w:space="0" w:color="auto"/>
      </w:divBdr>
      <w:divsChild>
        <w:div w:id="1905676678">
          <w:marLeft w:val="0"/>
          <w:marRight w:val="0"/>
          <w:marTop w:val="75"/>
          <w:marBottom w:val="315"/>
          <w:divBdr>
            <w:top w:val="none" w:sz="0" w:space="0" w:color="auto"/>
            <w:left w:val="none" w:sz="0" w:space="0" w:color="auto"/>
            <w:bottom w:val="none" w:sz="0" w:space="0" w:color="auto"/>
            <w:right w:val="none" w:sz="0" w:space="0" w:color="auto"/>
          </w:divBdr>
        </w:div>
      </w:divsChild>
    </w:div>
    <w:div w:id="16377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a.com.vn/phuong-phap-trich-khau-hao-theo-so-du-giam-dan-co-dieu-chin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a.com.vn/phuong-phap-trich-khau-hao-theo-so-du-giam-dan-co-dieu-chinh/phuong-phap-trich-khau-hao-theo-so-du-giam-dan-co-dieu-chinh-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vaa.com.vn/phuong-phap-trich-khau-hao-theo-so-du-giam-dan-co-dieu-chinh/trich-khau-hao-theo-so-du-giam-dan-co-dieu-chin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EA04-FEAD-45A9-AAD2-8D350B30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2018-04-13T06:25:00Z</dcterms:created>
  <dcterms:modified xsi:type="dcterms:W3CDTF">2018-04-13T07:08:00Z</dcterms:modified>
</cp:coreProperties>
</file>