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16" w:rsidRPr="00C2671F" w:rsidRDefault="001A3E16" w:rsidP="00C267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26"/>
          <w:szCs w:val="26"/>
        </w:rPr>
      </w:pPr>
      <w:bookmarkStart w:id="0" w:name="_GoBack"/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Tổng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quan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về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hệ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phân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phối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thuốc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giải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phóng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kéo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dài</w:t>
      </w:r>
      <w:proofErr w:type="spellEnd"/>
    </w:p>
    <w:bookmarkEnd w:id="0"/>
    <w:p w:rsidR="00C2671F" w:rsidRPr="00C2671F" w:rsidRDefault="00C2671F" w:rsidP="00381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color w:val="202124"/>
          <w:sz w:val="26"/>
          <w:szCs w:val="26"/>
        </w:rPr>
      </w:pPr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Tóm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tắt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       </w:t>
      </w:r>
    </w:p>
    <w:p w:rsidR="001A3E16" w:rsidRPr="007968F7" w:rsidRDefault="00C2671F" w:rsidP="00381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       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Cung cấp thuốc bằng đường uống là lựa chọn ưu tiên và thuận tiện nhất vì đường uống mang lại hiệu quả tối đa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diện tích bề mặt hoạt động trong số tất cả các hệ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thống phân phối thuốc để sử dụng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các loại thuốc khác nhau. Sự hấp dẫn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của các dạng bào chế này là do nhận thức về độc tính và sự kém hiệu quả của thuốc khi được sử dụng bởi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phương pháp uống thông thường ở dạng viên nén và viên nang. Thông thường dạng bào chế thông thường tạo ra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sự dao động rộng rãi về nồng độ thuốc trong máu và các mô, hậu quả là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độc tính không mong muốn và hiệu quả kém. Việc duy trì nồng độ thuốc trong huyết tương trong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chỉ số điều trị là rất quan trọng để điều trị hiệu quả. Những yếu tố này cũng như những yếu tố như sự lặp đi lặp lại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liều lượng và sự hấp thu không thể đoán trước dẫn đến khái niệm về hệ thống phân phối thuốc giải phóng kéo dài qua đường uống.</w:t>
      </w:r>
    </w:p>
    <w:p w:rsidR="001A3E16" w:rsidRPr="007968F7" w:rsidRDefault="00C2671F" w:rsidP="00381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       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Hệ thống phân phối thuốc giải phóng kéo dài hoạt động dựa trên nhiều cơ chế khác nhau để kiểm soát tốc độ giải phóng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của dược chất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.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Việc phát triển viên nén hệ cốt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giải phóng kéo dài qua đường uống cho thuốc có tốc độ giải phóng không đổi luôn luôn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là một thác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 thức đối với các nhà công nghệ dược phẩm. Xác định sự giải phóng dược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chất thông qua hệ cốt</w:t>
      </w:r>
      <w:r w:rsid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bởi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sự xâm nhập của nước, trương nở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polymer, hòa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tan thuốc, khuếch tán thuốc, </w:t>
      </w:r>
      <w:proofErr w:type="spellStart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>hệ</w:t>
      </w:r>
      <w:proofErr w:type="spellEnd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>cốt</w:t>
      </w:r>
      <w:proofErr w:type="spellEnd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ăn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mòn đã được</w:t>
      </w:r>
      <w:r w:rsid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được sử dụng như các phương pháp xây d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ựng công thức. Bài báo này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có đánh giá ngắn gọn </w:t>
      </w:r>
      <w:proofErr w:type="spellStart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>tổng</w:t>
      </w:r>
      <w:proofErr w:type="spellEnd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>quan</w:t>
      </w:r>
      <w:proofErr w:type="spellEnd"/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về các công thức khác nhau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>, c</w:t>
      </w:r>
      <w:r w:rsidR="001A3E16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ác phương pháp tiếp cận hệ thống phâ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n phối thuốc giải phóng kéo dài.</w:t>
      </w:r>
    </w:p>
    <w:p w:rsidR="00C2671F" w:rsidRPr="00C2671F" w:rsidRDefault="00C2671F" w:rsidP="007968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color w:val="202124"/>
          <w:sz w:val="26"/>
          <w:szCs w:val="26"/>
        </w:rPr>
      </w:pPr>
      <w:proofErr w:type="spellStart"/>
      <w:r>
        <w:rPr>
          <w:rFonts w:ascii="inherit" w:eastAsia="Times New Roman" w:hAnsi="inherit" w:cs="Courier New"/>
          <w:b/>
          <w:color w:val="202124"/>
          <w:sz w:val="26"/>
          <w:szCs w:val="26"/>
        </w:rPr>
        <w:t>Giới</w:t>
      </w:r>
      <w:proofErr w:type="spellEnd"/>
      <w:r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b/>
          <w:color w:val="202124"/>
          <w:sz w:val="26"/>
          <w:szCs w:val="26"/>
        </w:rPr>
        <w:t>thiệu</w:t>
      </w:r>
      <w:proofErr w:type="spellEnd"/>
    </w:p>
    <w:p w:rsidR="004F4A2D" w:rsidRPr="007968F7" w:rsidRDefault="00C2671F" w:rsidP="007968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      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Trong 30 năm qua, do chi phí và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sự phức tạp liên quan đến việc tiếp thị sản phẩm mới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các đơn vị thuốc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đã tăng lên, với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sự công nhận đồng thời của điều trị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lợi ích c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ủa việc phân phối thuốc kéo dài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,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đang được chú ý nhiều hơn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phát tri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ển thuốc giải phóng kéo dài qua 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lastRenderedPageBreak/>
        <w:t>đường uống</w:t>
      </w:r>
      <w:r w:rsid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hệ thống phân phối. Mục tiêu trong việc thiết kế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h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ệ thống phân phối thuốc giải phóng kéo dài là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giảm tần suất dùng thuốc,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giảm liều và cung cấp thuốc thống nhất</w:t>
      </w:r>
      <w:r w:rsid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vận chuyển. Vì vậy,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dạng bào chế giải phóng kéo dài</w:t>
      </w:r>
      <w:r w:rsid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là dạng bào chế giải phóng một hoặc nhiều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thuốc liên tục theo lịch định trước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mẫu trong một khoảng thời gian cố định, hoặc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một cách có hệ thống hoặc cục bộ tới mục tiêu được chỉ định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cơ quan</w:t>
      </w:r>
      <w:r w:rsidR="00381A41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. 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Dạng bào chế giải phóng kéo dài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giúp kiểm soát nồng độ thuốc trong huyết tương tốt hơn, tần suất dùng thuốc ít hơn, ít tác dụng phụ hơn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,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tăng hiệu quả và</w:t>
      </w:r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phân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phối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thuốc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liên tục.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Hệ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thống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phân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phối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thuốc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cải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tiến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qua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đường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uống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được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thể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hiện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trong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bảng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phân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loại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(</w:t>
      </w:r>
      <w:proofErr w:type="spellStart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>Hình</w:t>
      </w:r>
      <w:proofErr w:type="spellEnd"/>
      <w:r w:rsidR="004F4A2D" w:rsidRPr="007968F7">
        <w:rPr>
          <w:rFonts w:ascii="inherit" w:eastAsia="Times New Roman" w:hAnsi="inherit" w:cs="Courier New"/>
          <w:color w:val="202124"/>
          <w:sz w:val="26"/>
          <w:szCs w:val="26"/>
        </w:rPr>
        <w:t xml:space="preserve"> 1).</w:t>
      </w:r>
    </w:p>
    <w:p w:rsidR="004F4A2D" w:rsidRPr="007968F7" w:rsidRDefault="004F4A2D" w:rsidP="004F4A2D">
      <w:pPr>
        <w:pStyle w:val="HTMLPreformatted"/>
        <w:shd w:val="clear" w:color="auto" w:fill="F8F9FA"/>
        <w:spacing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</w:rPr>
      </w:pPr>
      <w:r w:rsidRPr="007968F7">
        <w:rPr>
          <w:rFonts w:ascii="inherit" w:eastAsia="Times New Roman" w:hAnsi="inherit" w:cs="Courier New"/>
          <w:color w:val="202124"/>
          <w:sz w:val="26"/>
          <w:szCs w:val="26"/>
        </w:rPr>
        <w:drawing>
          <wp:inline distT="0" distB="0" distL="0" distR="0" wp14:anchorId="23CA621B" wp14:editId="587B82E1">
            <wp:extent cx="5553850" cy="246731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2D" w:rsidRPr="004F4A2D" w:rsidRDefault="004F4A2D" w:rsidP="00FB2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Thuật ngữ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: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Hệ thống phân phối thuốc giải phóng kéo dài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>, n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ó bao gồm bất kỳ hệ thống phân phối thuốc nào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đạt được sự giải phóng thuốc trong thời gian dài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khoảng thời gian, không phụ thuộc vào thời gian.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Nền polyme ưa nước được sử dụng rộng rãi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để xây dựng một dạng bào chế bền vững.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Vai trò của hệ thống phân phối thuốc lý tưởng là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cung cấp đủ lượng thuốc đều đặn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khoảng thời</w:t>
      </w:r>
      <w:r w:rsid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gian và đúng địa điểm tác dụng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để</w:t>
      </w:r>
      <w:r w:rsidR="00FB2055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7968F7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duy trì khoảng điều trị của thuốc trong máu.</w:t>
      </w:r>
    </w:p>
    <w:p w:rsidR="00FB2055" w:rsidRPr="00FB2055" w:rsidRDefault="00FB2055" w:rsidP="00FB2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Hệ thống phân phối thuốc IR thiếu một số</w:t>
      </w:r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các tính năng như duy trì liều lượng, duy trì</w:t>
      </w:r>
    </w:p>
    <w:p w:rsidR="00FB2055" w:rsidRPr="00FB2055" w:rsidRDefault="00FB2055" w:rsidP="00FB2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lastRenderedPageBreak/>
        <w:t xml:space="preserve">tỷ lệ phát </w:t>
      </w:r>
      <w:r w:rsidR="00CE2E32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hành và nhắm mục tiêu qua đường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miệng</w:t>
      </w:r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.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Việc cung cấp thuốc liên tục có một số tiềm năng</w:t>
      </w:r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lợi </w:t>
      </w:r>
      <w:r w:rsidR="00CE2E32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thế như tỷ lệ giải phóng kéo dài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&amp;</w:t>
      </w:r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duy trì liều trong huyết tương. SR</w:t>
      </w:r>
    </w:p>
    <w:p w:rsidR="00FB2055" w:rsidRPr="00FB2055" w:rsidRDefault="00FB2055" w:rsidP="00FB2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công thức có một số polyme trương nở</w:t>
      </w:r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hoặc sáp hoặc cả hai để kiểm soát việc giải phóng</w:t>
      </w:r>
    </w:p>
    <w:p w:rsidR="00FB2055" w:rsidRPr="00FB2055" w:rsidRDefault="00FB2055" w:rsidP="00FB2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tỷ lệ. Việc sử dụng hệ thống hồ chứa cũng tốt</w:t>
      </w:r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được biết đến với</w:t>
      </w:r>
      <w:r w:rsidR="00CE2E32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việc kiểm soát tốc độ giải phóng. (</w:t>
      </w:r>
      <w:proofErr w:type="spellStart"/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>Hình</w:t>
      </w:r>
      <w:proofErr w:type="spellEnd"/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2) cho t</w:t>
      </w:r>
      <w:r w:rsidR="00CE2E32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hấy sự biến đổi của nồng độ thuốc trong m</w:t>
      </w:r>
      <w:proofErr w:type="spellStart"/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>áu</w:t>
      </w:r>
      <w:proofErr w:type="spellEnd"/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CE2E32">
        <w:rPr>
          <w:rFonts w:ascii="inherit" w:eastAsia="Times New Roman" w:hAnsi="inherit" w:cs="Courier New"/>
          <w:color w:val="202124"/>
          <w:sz w:val="26"/>
          <w:szCs w:val="26"/>
        </w:rPr>
        <w:t>theo</w:t>
      </w:r>
      <w:proofErr w:type="spellEnd"/>
      <w:r w:rsidRPr="00FB2055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thời gian.</w:t>
      </w:r>
    </w:p>
    <w:p w:rsidR="00381A41" w:rsidRPr="00381A41" w:rsidRDefault="009C08FD" w:rsidP="00FB2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drawing>
          <wp:inline distT="0" distB="0" distL="0" distR="0" wp14:anchorId="001EE503" wp14:editId="26854468">
            <wp:extent cx="5868219" cy="2838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FD" w:rsidRPr="00C2671F" w:rsidRDefault="009C08FD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6"/>
          <w:szCs w:val="26"/>
        </w:rPr>
      </w:pPr>
      <w:r w:rsidRPr="00C2671F">
        <w:rPr>
          <w:rFonts w:ascii="inherit" w:eastAsia="Times New Roman" w:hAnsi="inherit" w:cs="Courier New"/>
          <w:b/>
          <w:color w:val="202124"/>
          <w:sz w:val="26"/>
          <w:szCs w:val="26"/>
          <w:lang w:val="vi-VN"/>
        </w:rPr>
        <w:t>Ưu điểm của Duy trì/Kiểm soát</w:t>
      </w:r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r w:rsidRPr="00C2671F">
        <w:rPr>
          <w:rFonts w:ascii="inherit" w:eastAsia="Times New Roman" w:hAnsi="inherit" w:cs="Courier New"/>
          <w:b/>
          <w:color w:val="202124"/>
          <w:sz w:val="26"/>
          <w:szCs w:val="26"/>
          <w:lang w:val="vi-VN"/>
        </w:rPr>
        <w:t>giải phóng hệ thống phân phối thuốc qua</w:t>
      </w:r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r w:rsidR="00C2671F" w:rsidRPr="00C2671F">
        <w:rPr>
          <w:rFonts w:ascii="inherit" w:eastAsia="Times New Roman" w:hAnsi="inherit" w:cs="Courier New"/>
          <w:b/>
          <w:color w:val="202124"/>
          <w:sz w:val="26"/>
          <w:szCs w:val="26"/>
          <w:lang w:val="vi-VN"/>
        </w:rPr>
        <w:t>dạng bào chế thông thường</w:t>
      </w:r>
      <w:r w:rsidR="00C2671F"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: 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Giảm tần suất dùng thuốc.</w:t>
      </w:r>
      <w:r w:rsidRPr="009C08FD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Giảm liều.</w:t>
      </w:r>
      <w:r w:rsidRPr="009C08FD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Cải thiện sự tuân thủ của bệnh nhân.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Nồng độ thuốc không đổi</w:t>
      </w:r>
      <w:r w:rsidRPr="009C08FD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trong huyết tương.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Giảm độc tính do dùng quá liều.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Giảm sự dao động của đỉnh</w:t>
      </w:r>
      <w:r w:rsidRPr="009C08FD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sự tập trung nồng độ thuốc trong cửa sổ điều trị</w:t>
      </w:r>
    </w:p>
    <w:p w:rsidR="009C08FD" w:rsidRPr="009C08FD" w:rsidRDefault="009C08FD" w:rsidP="00C2671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Có thể tránh được việc dùng thuốc vào ban đêm.</w:t>
      </w:r>
    </w:p>
    <w:p w:rsidR="009C08FD" w:rsidRPr="00C2671F" w:rsidRDefault="00C2671F" w:rsidP="00C267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6"/>
          <w:szCs w:val="26"/>
        </w:rPr>
      </w:pPr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K</w:t>
      </w:r>
      <w:r w:rsidR="009C08FD" w:rsidRPr="00C2671F">
        <w:rPr>
          <w:rFonts w:ascii="inherit" w:eastAsia="Times New Roman" w:hAnsi="inherit" w:cs="Courier New"/>
          <w:b/>
          <w:color w:val="202124"/>
          <w:sz w:val="26"/>
          <w:szCs w:val="26"/>
          <w:lang w:val="vi-VN"/>
        </w:rPr>
        <w:t>iểm soát</w:t>
      </w:r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giải</w:t>
      </w:r>
      <w:proofErr w:type="spellEnd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 xml:space="preserve"> </w:t>
      </w:r>
      <w:proofErr w:type="spellStart"/>
      <w:r w:rsidRPr="00C2671F">
        <w:rPr>
          <w:rFonts w:ascii="inherit" w:eastAsia="Times New Roman" w:hAnsi="inherit" w:cs="Courier New"/>
          <w:b/>
          <w:color w:val="202124"/>
          <w:sz w:val="26"/>
          <w:szCs w:val="26"/>
        </w:rPr>
        <w:t>phóng</w:t>
      </w:r>
      <w:proofErr w:type="spellEnd"/>
    </w:p>
    <w:p w:rsidR="009C08FD" w:rsidRPr="009C08FD" w:rsidRDefault="009C08FD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lastRenderedPageBreak/>
        <w:t>Nó bao gồm bất kỳ hệ thống phân phối thuốc nào</w:t>
      </w:r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giải phóng thuốc theo tỷ lệ xác định trước</w:t>
      </w:r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một khoảng thời gian kéo dài.</w:t>
      </w:r>
    </w:p>
    <w:p w:rsidR="009C08FD" w:rsidRPr="00C2671F" w:rsidRDefault="009C08FD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6"/>
          <w:szCs w:val="26"/>
          <w:lang w:val="vi-VN"/>
        </w:rPr>
      </w:pPr>
      <w:r w:rsidRPr="00C2671F">
        <w:rPr>
          <w:rFonts w:ascii="inherit" w:eastAsia="Times New Roman" w:hAnsi="inherit" w:cs="Courier New"/>
          <w:b/>
          <w:color w:val="202124"/>
          <w:sz w:val="26"/>
          <w:szCs w:val="26"/>
          <w:lang w:val="vi-VN"/>
        </w:rPr>
        <w:t>Giới hạn liều lượng thông thường bằng đường uống</w:t>
      </w:r>
    </w:p>
    <w:p w:rsidR="009C08FD" w:rsidRPr="009C08FD" w:rsidRDefault="009C08FD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1. Sự tuân thủ của bệnh nhân kém, tăng</w:t>
      </w:r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nguy cơ quên liều thuốc</w:t>
      </w:r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thời gian bán hủy ngắn </w:t>
      </w:r>
      <w:proofErr w:type="spellStart"/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>sử</w:t>
      </w:r>
      <w:proofErr w:type="spellEnd"/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>dụng</w:t>
      </w:r>
      <w:proofErr w:type="spellEnd"/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thường xuyên là cần thiết.</w:t>
      </w:r>
    </w:p>
    <w:p w:rsidR="009C08FD" w:rsidRPr="009C08FD" w:rsidRDefault="009C08FD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2. Sự biến động khó tránh khỏi của thuốc</w:t>
      </w:r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nồng độ có thể dẫn đến thiếu thuốc hoặc dùng</w:t>
      </w:r>
      <w:r w:rsidR="00C2671F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thuốc quá mức trong phạm vi</w:t>
      </w:r>
      <w:r w:rsidR="00C2671F"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C2671F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chỉ số điều trị của thuốc hẹp.</w:t>
      </w:r>
    </w:p>
    <w:p w:rsidR="009C08FD" w:rsidRDefault="00C2671F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</w:rPr>
      </w:pPr>
      <w:r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3. </w:t>
      </w:r>
      <w:r>
        <w:rPr>
          <w:rFonts w:ascii="inherit" w:eastAsia="Times New Roman" w:hAnsi="inherit" w:cs="Courier New"/>
          <w:color w:val="202124"/>
          <w:sz w:val="26"/>
          <w:szCs w:val="26"/>
        </w:rPr>
        <w:t>N</w:t>
      </w:r>
      <w:r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ồng độ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đỉnh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của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thuốc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trong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 huyết tương, </w:t>
      </w:r>
      <w:r w:rsidR="009C08FD"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 xml:space="preserve">hồ sơ thời gian tập trung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nồng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độ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thuốc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r w:rsidR="009C08FD" w:rsidRPr="009C08FD">
        <w:rPr>
          <w:rFonts w:ascii="inherit" w:eastAsia="Times New Roman" w:hAnsi="inherit" w:cs="Courier New"/>
          <w:color w:val="202124"/>
          <w:sz w:val="26"/>
          <w:szCs w:val="26"/>
          <w:lang w:val="vi-VN"/>
        </w:rPr>
        <w:t>thu được làm cho việc đạt được trạng thái ổn định</w:t>
      </w:r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không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khả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26"/>
          <w:szCs w:val="26"/>
        </w:rPr>
        <w:t>thi</w:t>
      </w:r>
      <w:proofErr w:type="spellEnd"/>
      <w:r>
        <w:rPr>
          <w:rFonts w:ascii="inherit" w:eastAsia="Times New Roman" w:hAnsi="inherit" w:cs="Courier New"/>
          <w:color w:val="202124"/>
          <w:sz w:val="26"/>
          <w:szCs w:val="26"/>
        </w:rPr>
        <w:t xml:space="preserve">. </w:t>
      </w:r>
    </w:p>
    <w:p w:rsidR="00C2671F" w:rsidRPr="00B52F2C" w:rsidRDefault="00C2671F" w:rsidP="00C2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viết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bài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Ths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Trịnh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Loan</w:t>
      </w:r>
    </w:p>
    <w:p w:rsidR="00C2671F" w:rsidRPr="00B52F2C" w:rsidRDefault="00C2671F" w:rsidP="00C2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duyệt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bài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Ths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Nguyễn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Thùy</w:t>
      </w:r>
      <w:proofErr w:type="spellEnd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52F2C">
        <w:rPr>
          <w:rFonts w:ascii="Times New Roman" w:eastAsia="Times New Roman" w:hAnsi="Times New Roman" w:cs="Times New Roman"/>
          <w:color w:val="222222"/>
          <w:sz w:val="26"/>
          <w:szCs w:val="26"/>
        </w:rPr>
        <w:t>Trang</w:t>
      </w:r>
      <w:proofErr w:type="spellEnd"/>
    </w:p>
    <w:p w:rsidR="00C2671F" w:rsidRPr="00C2671F" w:rsidRDefault="00C2671F" w:rsidP="00C2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C2EDD">
        <w:rPr>
          <w:rFonts w:ascii="Times New Roman" w:eastAsia="Times New Roman" w:hAnsi="Times New Roman" w:cs="Times New Roman"/>
          <w:color w:val="222222"/>
          <w:sz w:val="26"/>
          <w:szCs w:val="26"/>
        </w:rPr>
        <w:t>Nguồn</w:t>
      </w:r>
      <w:proofErr w:type="spellEnd"/>
      <w:r w:rsidRPr="005C2ED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C2EDD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5C2EDD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C2671F" w:rsidRDefault="00C2671F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  <w:hyperlink r:id="rId7" w:history="1">
        <w:r w:rsidRPr="00F638F1">
          <w:rPr>
            <w:rStyle w:val="Hyperlink"/>
            <w:rFonts w:ascii="inherit" w:eastAsia="Times New Roman" w:hAnsi="inherit" w:cs="Courier New"/>
            <w:sz w:val="26"/>
            <w:szCs w:val="26"/>
            <w:lang w:val="vi-VN"/>
          </w:rPr>
          <w:t>https://www.rroij.com/open-access/sustained-release-oral-drug-delivery-system--an-overview.pdf</w:t>
        </w:r>
      </w:hyperlink>
    </w:p>
    <w:p w:rsidR="00C2671F" w:rsidRPr="009C08FD" w:rsidRDefault="00C2671F" w:rsidP="009C08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vi-VN"/>
        </w:rPr>
      </w:pPr>
    </w:p>
    <w:p w:rsidR="00381A41" w:rsidRPr="001A3E16" w:rsidRDefault="00381A41" w:rsidP="00381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6"/>
          <w:szCs w:val="26"/>
        </w:rPr>
      </w:pPr>
    </w:p>
    <w:p w:rsidR="003977E1" w:rsidRPr="007968F7" w:rsidRDefault="003977E1" w:rsidP="00381A41">
      <w:pPr>
        <w:jc w:val="both"/>
        <w:rPr>
          <w:sz w:val="26"/>
          <w:szCs w:val="26"/>
        </w:rPr>
      </w:pPr>
    </w:p>
    <w:sectPr w:rsidR="003977E1" w:rsidRPr="0079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69EC"/>
    <w:multiLevelType w:val="hybridMultilevel"/>
    <w:tmpl w:val="4B5A0FCE"/>
    <w:lvl w:ilvl="0" w:tplc="4DF0790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6"/>
    <w:rsid w:val="001A3E16"/>
    <w:rsid w:val="00381A41"/>
    <w:rsid w:val="003977E1"/>
    <w:rsid w:val="004F4A2D"/>
    <w:rsid w:val="007968F7"/>
    <w:rsid w:val="009C08FD"/>
    <w:rsid w:val="00C2671F"/>
    <w:rsid w:val="00CE2E32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99C9"/>
  <w15:chartTrackingRefBased/>
  <w15:docId w15:val="{EC62D357-313E-4A02-B9B5-983C93B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4A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A2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roij.com/open-access/sustained-release-oral-drug-delivery-system--an-over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2023-11-18T02:23:00Z</dcterms:created>
  <dcterms:modified xsi:type="dcterms:W3CDTF">2023-11-18T03:57:00Z</dcterms:modified>
</cp:coreProperties>
</file>